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49" w:rsidRPr="000E0AC1" w:rsidRDefault="00C42B49" w:rsidP="00C42B49">
      <w:pPr>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br/>
        <w:t>РОССИЙСКАЯ ФЕДЕРАЦИЯ</w:t>
      </w:r>
    </w:p>
    <w:p w:rsidR="00C42B49" w:rsidRPr="000E0AC1" w:rsidRDefault="00C42B49" w:rsidP="00C42B49">
      <w:pPr>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АДМИНИСТРАЦИЯ СОВЕТСКОГО СЕЛЬСКОГО ПОСЕЛЕНИЯ КАЛАЧЕЕВСКОГО МУНИЦИПАЛЬНОГО РАЙОНА</w:t>
      </w:r>
    </w:p>
    <w:p w:rsidR="00C42B49" w:rsidRPr="000E0AC1" w:rsidRDefault="00C42B49" w:rsidP="00C42B49">
      <w:pPr>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ВОРОНЕЖСКОЙ ОБЛАСТИ</w:t>
      </w:r>
    </w:p>
    <w:p w:rsidR="00C42B49" w:rsidRPr="000E0AC1" w:rsidRDefault="00C42B49" w:rsidP="00C42B4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ПОСТАНОВЛЕНИЕ</w:t>
      </w:r>
    </w:p>
    <w:p w:rsidR="00C42B49" w:rsidRPr="000E0AC1" w:rsidRDefault="00C42B49" w:rsidP="00C42B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w:t>
      </w:r>
      <w:proofErr w:type="gramStart"/>
      <w:r w:rsidRPr="000E0AC1">
        <w:rPr>
          <w:rFonts w:ascii="Times New Roman" w:eastAsia="Times New Roman" w:hAnsi="Times New Roman" w:cs="Times New Roman"/>
          <w:color w:val="000000"/>
          <w:sz w:val="28"/>
          <w:szCs w:val="28"/>
          <w:lang w:eastAsia="ru-RU"/>
        </w:rPr>
        <w:t>14»декабря</w:t>
      </w:r>
      <w:proofErr w:type="gramEnd"/>
      <w:r w:rsidRPr="000E0AC1">
        <w:rPr>
          <w:rFonts w:ascii="Times New Roman" w:eastAsia="Times New Roman" w:hAnsi="Times New Roman" w:cs="Times New Roman"/>
          <w:color w:val="000000"/>
          <w:sz w:val="28"/>
          <w:szCs w:val="28"/>
          <w:lang w:eastAsia="ru-RU"/>
        </w:rPr>
        <w:t> 2015 года № 46</w:t>
      </w:r>
    </w:p>
    <w:p w:rsidR="00C42B49" w:rsidRPr="000E0AC1" w:rsidRDefault="00C42B49" w:rsidP="00C42B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 Советское.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ред. пост. от 07.06.2016 № 58, от 14.12.2016 № 106, от 14.03.2019 № 18, от 19.12.2022 № 76)</w:t>
      </w:r>
    </w:p>
    <w:p w:rsidR="00C42B49" w:rsidRPr="000E0AC1" w:rsidRDefault="00C42B49" w:rsidP="00C42B49">
      <w:pPr>
        <w:spacing w:after="0" w:line="240" w:lineRule="auto"/>
        <w:ind w:firstLine="709"/>
        <w:jc w:val="center"/>
        <w:rPr>
          <w:rFonts w:ascii="Times New Roman" w:eastAsia="Times New Roman" w:hAnsi="Times New Roman" w:cs="Times New Roman"/>
          <w:b/>
          <w:bCs/>
          <w:color w:val="000000"/>
          <w:sz w:val="28"/>
          <w:szCs w:val="28"/>
          <w:lang w:eastAsia="ru-RU"/>
        </w:rPr>
      </w:pPr>
      <w:r w:rsidRPr="000E0AC1">
        <w:rPr>
          <w:rFonts w:ascii="Times New Roman" w:eastAsia="Times New Roman" w:hAnsi="Times New Roman" w:cs="Times New Roman"/>
          <w:b/>
          <w:bCs/>
          <w:color w:val="000000"/>
          <w:sz w:val="28"/>
          <w:szCs w:val="28"/>
          <w:lang w:eastAsia="ru-RU"/>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C42B49" w:rsidRPr="000E0AC1" w:rsidRDefault="00C42B49" w:rsidP="00C42B49">
      <w:pPr>
        <w:spacing w:after="0" w:line="240" w:lineRule="auto"/>
        <w:ind w:firstLine="709"/>
        <w:jc w:val="both"/>
        <w:rPr>
          <w:rFonts w:ascii="Times New Roman" w:eastAsia="Times New Roman" w:hAnsi="Times New Roman" w:cs="Times New Roman"/>
          <w:b/>
          <w:bCs/>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(наименование </w:t>
      </w:r>
      <w:proofErr w:type="spellStart"/>
      <w:r w:rsidRPr="000E0AC1">
        <w:rPr>
          <w:rFonts w:ascii="Times New Roman" w:eastAsia="Times New Roman" w:hAnsi="Times New Roman" w:cs="Times New Roman"/>
          <w:color w:val="000000"/>
          <w:sz w:val="28"/>
          <w:szCs w:val="28"/>
          <w:lang w:eastAsia="ru-RU"/>
        </w:rPr>
        <w:t>излож</w:t>
      </w:r>
      <w:proofErr w:type="spellEnd"/>
      <w:r w:rsidRPr="000E0AC1">
        <w:rPr>
          <w:rFonts w:ascii="Times New Roman" w:eastAsia="Times New Roman" w:hAnsi="Times New Roman" w:cs="Times New Roman"/>
          <w:color w:val="000000"/>
          <w:sz w:val="28"/>
          <w:szCs w:val="28"/>
          <w:lang w:eastAsia="ru-RU"/>
        </w:rPr>
        <w:t>. в ред. пост. от 14.12.2016 № 106)</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от 26 июля 2012 г. № 21 «О порядке разработки и утверждения административных регламентов предоставления муниципальных услуг» (в редакции от 27.10.2014г. № 47), администрация Советского сельского поселения Калачеевского муниципального района п о с т а н о в л я е 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(пункт 1 </w:t>
      </w:r>
      <w:proofErr w:type="spellStart"/>
      <w:r w:rsidRPr="000E0AC1">
        <w:rPr>
          <w:rFonts w:ascii="Times New Roman" w:eastAsia="Times New Roman" w:hAnsi="Times New Roman" w:cs="Times New Roman"/>
          <w:color w:val="000000"/>
          <w:sz w:val="28"/>
          <w:szCs w:val="28"/>
          <w:lang w:eastAsia="ru-RU"/>
        </w:rPr>
        <w:t>излож</w:t>
      </w:r>
      <w:proofErr w:type="spellEnd"/>
      <w:r w:rsidRPr="000E0AC1">
        <w:rPr>
          <w:rFonts w:ascii="Times New Roman" w:eastAsia="Times New Roman" w:hAnsi="Times New Roman" w:cs="Times New Roman"/>
          <w:color w:val="000000"/>
          <w:sz w:val="28"/>
          <w:szCs w:val="28"/>
          <w:lang w:eastAsia="ru-RU"/>
        </w:rPr>
        <w:t>. в ред. пост. от 14.12.2016 № 106)</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 Утвердить административный регламент по исполнению муниципальной услуги «Прекращение права постоянного (бессрочного) пользования земельными участками, находящимися в муниципальной собственности» согласно приложению.</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2. Настоящее постановление опубликовать в информационном «Вестнике» нормативных правовых актов Советского сельского поселения Калачеевского муниципального района Воронежской </w:t>
      </w:r>
      <w:proofErr w:type="gramStart"/>
      <w:r w:rsidRPr="000E0AC1">
        <w:rPr>
          <w:rFonts w:ascii="Times New Roman" w:eastAsia="Times New Roman" w:hAnsi="Times New Roman" w:cs="Times New Roman"/>
          <w:color w:val="000000"/>
          <w:sz w:val="28"/>
          <w:szCs w:val="28"/>
          <w:lang w:eastAsia="ru-RU"/>
        </w:rPr>
        <w:t>области .</w:t>
      </w:r>
      <w:proofErr w:type="gramEnd"/>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 Контроль за исполнением данного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54"/>
        <w:gridCol w:w="3057"/>
        <w:gridCol w:w="3144"/>
      </w:tblGrid>
      <w:tr w:rsidR="00C42B49" w:rsidRPr="000E0AC1" w:rsidTr="00C42B49">
        <w:tc>
          <w:tcPr>
            <w:tcW w:w="3284" w:type="dxa"/>
            <w:tcMar>
              <w:top w:w="0" w:type="dxa"/>
              <w:left w:w="108" w:type="dxa"/>
              <w:bottom w:w="0" w:type="dxa"/>
              <w:right w:w="108" w:type="dxa"/>
            </w:tcMar>
            <w:hideMark/>
          </w:tcPr>
          <w:p w:rsidR="00C42B49" w:rsidRPr="000E0AC1" w:rsidRDefault="00C42B49" w:rsidP="00C42B49">
            <w:pPr>
              <w:spacing w:after="0" w:line="240" w:lineRule="auto"/>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Глава Советского сельского поселения</w:t>
            </w:r>
          </w:p>
        </w:tc>
        <w:tc>
          <w:tcPr>
            <w:tcW w:w="3285" w:type="dxa"/>
            <w:tcMar>
              <w:top w:w="0" w:type="dxa"/>
              <w:left w:w="108" w:type="dxa"/>
              <w:bottom w:w="0" w:type="dxa"/>
              <w:right w:w="108" w:type="dxa"/>
            </w:tcMar>
            <w:hideMark/>
          </w:tcPr>
          <w:p w:rsidR="00C42B49" w:rsidRPr="000E0AC1" w:rsidRDefault="00C42B49" w:rsidP="00C42B49">
            <w:pPr>
              <w:spacing w:after="0" w:line="240" w:lineRule="auto"/>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3285" w:type="dxa"/>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С.В. Дубровин</w:t>
            </w:r>
          </w:p>
          <w:p w:rsidR="00C42B49" w:rsidRPr="000E0AC1" w:rsidRDefault="00C42B49" w:rsidP="00C42B49">
            <w:pPr>
              <w:spacing w:after="0" w:line="240" w:lineRule="auto"/>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r>
    </w:tbl>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w:t>
      </w:r>
    </w:p>
    <w:p w:rsidR="00C42B49" w:rsidRPr="000E0AC1" w:rsidRDefault="00C42B49" w:rsidP="00C42B49">
      <w:pPr>
        <w:spacing w:after="0" w:line="240" w:lineRule="auto"/>
        <w:ind w:left="4536"/>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br w:type="textWrapping" w:clear="all"/>
        <w:t xml:space="preserve">Приложение к постановлению администрации Советского сельского поселения от 14 декабря 2015 г. № 46 (прилож. </w:t>
      </w:r>
      <w:proofErr w:type="spellStart"/>
      <w:r w:rsidRPr="000E0AC1">
        <w:rPr>
          <w:rFonts w:ascii="Times New Roman" w:eastAsia="Times New Roman" w:hAnsi="Times New Roman" w:cs="Times New Roman"/>
          <w:color w:val="000000"/>
          <w:sz w:val="28"/>
          <w:szCs w:val="28"/>
          <w:lang w:eastAsia="ru-RU"/>
        </w:rPr>
        <w:t>излож</w:t>
      </w:r>
      <w:proofErr w:type="spellEnd"/>
      <w:r w:rsidRPr="000E0AC1">
        <w:rPr>
          <w:rFonts w:ascii="Times New Roman" w:eastAsia="Times New Roman" w:hAnsi="Times New Roman" w:cs="Times New Roman"/>
          <w:color w:val="000000"/>
          <w:sz w:val="28"/>
          <w:szCs w:val="28"/>
          <w:lang w:eastAsia="ru-RU"/>
        </w:rPr>
        <w:t>. в ред. пост. от 07.06.2016 № 58, от 14.12.2016 № 106, от 14.03.2019 № 18, от 19.12.2022 № 76)</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 xml:space="preserve">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w:t>
      </w:r>
      <w:proofErr w:type="gramStart"/>
      <w:r w:rsidRPr="000E0AC1">
        <w:rPr>
          <w:rFonts w:ascii="Times New Roman" w:eastAsia="Times New Roman" w:hAnsi="Times New Roman" w:cs="Times New Roman"/>
          <w:color w:val="000000"/>
          <w:sz w:val="28"/>
          <w:szCs w:val="28"/>
          <w:lang w:eastAsia="ru-RU"/>
        </w:rPr>
        <w:t>СОБСТВЕННОСТИ »</w:t>
      </w:r>
      <w:proofErr w:type="gramEnd"/>
    </w:p>
    <w:p w:rsidR="00C42B49" w:rsidRPr="000E0AC1" w:rsidRDefault="00C42B49" w:rsidP="00C42B49">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Общие положения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 (далее – административный регламент) являются отношения, возникающие между заявителями, администрацией Советского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1.2.                                                         Описание заявителей</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1.3.1.                                                  Орган, предоставляющий муниципальную услугу: администрация Советского сельского поселения (далее – администрация).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Администрация расположена по адресу: 397609, Воронежская область, </w:t>
      </w:r>
      <w:proofErr w:type="spellStart"/>
      <w:r w:rsidRPr="000E0AC1">
        <w:rPr>
          <w:rFonts w:ascii="Times New Roman" w:eastAsia="Times New Roman" w:hAnsi="Times New Roman" w:cs="Times New Roman"/>
          <w:color w:val="000000"/>
          <w:sz w:val="28"/>
          <w:szCs w:val="28"/>
          <w:lang w:eastAsia="ru-RU"/>
        </w:rPr>
        <w:t>Калачеевский</w:t>
      </w:r>
      <w:proofErr w:type="spellEnd"/>
      <w:r w:rsidRPr="000E0AC1">
        <w:rPr>
          <w:rFonts w:ascii="Times New Roman" w:eastAsia="Times New Roman" w:hAnsi="Times New Roman" w:cs="Times New Roman"/>
          <w:color w:val="000000"/>
          <w:sz w:val="28"/>
          <w:szCs w:val="28"/>
          <w:lang w:eastAsia="ru-RU"/>
        </w:rPr>
        <w:t xml:space="preserve"> район, с. Советское, ул. Советская, д. 49</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Советского сельского поселения, МФЦ приводятся в приложении № 1 к настоящему Административному регламенту и размещаются: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на официальном сайте администрации в сети Интернет (www.sovetskoe-vrn.ru);</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sym w:font="Symbol" w:char="F02D"/>
      </w:r>
      <w:r w:rsidRPr="000E0AC1">
        <w:rPr>
          <w:rFonts w:ascii="Times New Roman" w:eastAsia="Times New Roman" w:hAnsi="Times New Roman" w:cs="Times New Roman"/>
          <w:color w:val="000000"/>
          <w:sz w:val="28"/>
          <w:szCs w:val="28"/>
          <w:lang w:eastAsia="ru-RU"/>
        </w:rPr>
        <w:t xml:space="preserve">                                                                  в информационной системе Воронежской области </w:t>
      </w:r>
      <w:proofErr w:type="gramStart"/>
      <w:r w:rsidRPr="000E0AC1">
        <w:rPr>
          <w:rFonts w:ascii="Times New Roman" w:eastAsia="Times New Roman" w:hAnsi="Times New Roman" w:cs="Times New Roman"/>
          <w:color w:val="000000"/>
          <w:sz w:val="28"/>
          <w:szCs w:val="28"/>
          <w:lang w:eastAsia="ru-RU"/>
        </w:rPr>
        <w:t>« Портал</w:t>
      </w:r>
      <w:proofErr w:type="gramEnd"/>
      <w:r w:rsidRPr="000E0AC1">
        <w:rPr>
          <w:rFonts w:ascii="Times New Roman" w:eastAsia="Times New Roman" w:hAnsi="Times New Roman" w:cs="Times New Roman"/>
          <w:color w:val="000000"/>
          <w:sz w:val="28"/>
          <w:szCs w:val="28"/>
          <w:lang w:eastAsia="ru-RU"/>
        </w:rPr>
        <w:t xml:space="preserve"> Воронежской области в сети Интернет» (pgu.govvrn.ru) (далее - Портал Воронежской области в сети Интернет);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(www.gosuslugi.ru);</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на официальном сайте МФЦ (mfc.vrn.ru);</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на информационном стенде в администрации;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на информационном стенде в МФЦ.</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непосредственно в администрации,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непосредственно в МФЦ;</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текст настоящего Административного регламента;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формы, образцы заявлений, иных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sym w:font="Symbol" w:char="F02D"/>
      </w:r>
      <w:r w:rsidRPr="000E0AC1">
        <w:rPr>
          <w:rFonts w:ascii="Times New Roman" w:eastAsia="Times New Roman" w:hAnsi="Times New Roman" w:cs="Times New Roman"/>
          <w:color w:val="000000"/>
          <w:sz w:val="28"/>
          <w:szCs w:val="28"/>
          <w:lang w:eastAsia="ru-RU"/>
        </w:rPr>
        <w:t>                                                                  о порядке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о ходе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sym w:font="Symbol" w:char="F02D"/>
      </w:r>
      <w:r w:rsidRPr="000E0AC1">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42B49" w:rsidRPr="000E0AC1" w:rsidRDefault="00C42B49" w:rsidP="00C42B49">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Стандарт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           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2.2.           Наименование органа, представляющего муниципальную услугу.</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2.2.1.    Орган, предоставляющий муниципальную услугу: администрация Советского сельского поселения.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2.2.2.                                                  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Калачеевского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Калачеевского муниципального района.</w:t>
      </w:r>
    </w:p>
    <w:p w:rsidR="00C42B49" w:rsidRPr="000E0AC1" w:rsidRDefault="00C42B49" w:rsidP="00C42B49">
      <w:pPr>
        <w:spacing w:after="0" w:line="240" w:lineRule="auto"/>
        <w:ind w:left="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(ред. пост. от 14.03.2019 № 18 в пункт 2.2.3 раздела 2 внесены изм.)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 225 от «26» августа 2015 года.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w:t>
      </w:r>
      <w:r w:rsidRPr="000E0AC1">
        <w:rPr>
          <w:rFonts w:ascii="Times New Roman" w:eastAsia="Times New Roman" w:hAnsi="Times New Roman" w:cs="Times New Roman"/>
          <w:color w:val="000000"/>
          <w:sz w:val="28"/>
          <w:szCs w:val="28"/>
          <w:lang w:eastAsia="ru-RU"/>
        </w:rPr>
        <w:lastRenderedPageBreak/>
        <w:t>уведомляется заявитель, а также приносятся извинения за доставленные неудобства.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участком находящимся в муниципальной </w:t>
      </w:r>
      <w:proofErr w:type="gramStart"/>
      <w:r w:rsidRPr="000E0AC1">
        <w:rPr>
          <w:rFonts w:ascii="Times New Roman" w:eastAsia="Times New Roman" w:hAnsi="Times New Roman" w:cs="Times New Roman"/>
          <w:color w:val="000000"/>
          <w:sz w:val="28"/>
          <w:szCs w:val="28"/>
          <w:lang w:eastAsia="ru-RU"/>
        </w:rPr>
        <w:t>собственности ,</w:t>
      </w:r>
      <w:proofErr w:type="gramEnd"/>
      <w:r w:rsidRPr="000E0AC1">
        <w:rPr>
          <w:rFonts w:ascii="Times New Roman" w:eastAsia="Times New Roman" w:hAnsi="Times New Roman" w:cs="Times New Roman"/>
          <w:color w:val="000000"/>
          <w:sz w:val="28"/>
          <w:szCs w:val="28"/>
          <w:lang w:eastAsia="ru-RU"/>
        </w:rPr>
        <w:t xml:space="preserve"> либо уведомления о мотивированном отказе в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2.4.Срок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Срок регистрации заявления и прилагаемых к нему документов - 1 календарный день.</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не предусмотрено.</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2.5.           Правовые основы для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w:t>
      </w:r>
      <w:proofErr w:type="gramStart"/>
      <w:r w:rsidRPr="000E0AC1">
        <w:rPr>
          <w:rFonts w:ascii="Times New Roman" w:eastAsia="Times New Roman" w:hAnsi="Times New Roman" w:cs="Times New Roman"/>
          <w:color w:val="000000"/>
          <w:sz w:val="28"/>
          <w:szCs w:val="28"/>
          <w:lang w:eastAsia="ru-RU"/>
        </w:rPr>
        <w:t>собственности »</w:t>
      </w:r>
      <w:proofErr w:type="gramEnd"/>
      <w:r w:rsidRPr="000E0AC1">
        <w:rPr>
          <w:rFonts w:ascii="Times New Roman" w:eastAsia="Times New Roman" w:hAnsi="Times New Roman" w:cs="Times New Roman"/>
          <w:color w:val="000000"/>
          <w:sz w:val="28"/>
          <w:szCs w:val="28"/>
          <w:lang w:eastAsia="ru-RU"/>
        </w:rPr>
        <w:t xml:space="preserve"> осуществляется в соответствии с:</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Гражданским кодексом Российской Федерации (часть 1) от 30.11.1994 № 51-ФЗ («Собрание законодательства РФ», 05.12.1994, № 32, ст. 3301; «Российская газета», 08.12.1994, № 238-239);</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C42B49" w:rsidRPr="000E0AC1" w:rsidRDefault="00C42B49" w:rsidP="00C42B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Уставом Советского сельского поселения Воронежской области (публикация);</w:t>
      </w:r>
    </w:p>
    <w:p w:rsidR="00C42B49" w:rsidRPr="000E0AC1" w:rsidRDefault="00C42B49" w:rsidP="00C42B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иными нормативными правовыми актами Российской Федерации, Воронежской области и Советского сельского поселения Воронежской области, регламентирующими правоотношения в сфере предоставления государственных услуг.</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администрацию или в МФЦ</w:t>
      </w:r>
      <w:r w:rsidRPr="000E0AC1">
        <w:rPr>
          <w:rFonts w:ascii="Times New Roman" w:eastAsia="Times New Roman" w:hAnsi="Times New Roman" w:cs="Times New Roman"/>
          <w:color w:val="000000"/>
          <w:sz w:val="28"/>
          <w:szCs w:val="28"/>
          <w:vertAlign w:val="superscript"/>
          <w:lang w:eastAsia="ru-RU"/>
        </w:rPr>
        <w:t>1</w:t>
      </w:r>
      <w:r w:rsidRPr="000E0AC1">
        <w:rPr>
          <w:rFonts w:ascii="Times New Roman" w:eastAsia="Times New Roman" w:hAnsi="Times New Roman" w:cs="Times New Roman"/>
          <w:color w:val="000000"/>
          <w:sz w:val="28"/>
          <w:szCs w:val="28"/>
          <w:lang w:eastAsia="ru-RU"/>
        </w:rPr>
        <w:t>.</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Образец заявления приведен в приложении № 2 к настоящему Административному регламенту.</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К заявлению прилагаются следующие документы:</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Заявление на бумажном носителе представляется: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посредством почтового отправления;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при личном обращении заявителя либо его законного представителя.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Заявление в форме электронного документа от имени юридического лица заверяется электронной подписью:</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лица, действующего от имени юридического лица без доверенности;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42B49" w:rsidRPr="000E0AC1" w:rsidRDefault="00C42B49" w:rsidP="00C42B49">
      <w:pPr>
        <w:spacing w:after="0" w:line="240" w:lineRule="auto"/>
        <w:ind w:left="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(ред. пост. от 14.03.2019 № 18 в пункт 2.6.2. раздела 2 внесены изм.)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 </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документы, удостоверяющие права на землю или выписка из Единого государственного реестра недвижимости о зарегистрированных правах на объект недвижимости (земельный участок);</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Калачеевского муниципального района.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Запрещается требовать от заявителя: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Советского сельского поселения Калачеевского муниципального </w:t>
      </w:r>
      <w:r w:rsidRPr="000E0AC1">
        <w:rPr>
          <w:rFonts w:ascii="Times New Roman" w:eastAsia="Times New Roman" w:hAnsi="Times New Roman" w:cs="Times New Roman"/>
          <w:color w:val="000000"/>
          <w:sz w:val="28"/>
          <w:szCs w:val="28"/>
          <w:lang w:eastAsia="ru-RU"/>
        </w:rPr>
        <w:lastRenderedPageBreak/>
        <w:t>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подача заявления лицом, не уполномоченным совершать такого рода действия.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является: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наличие противоречий между заявленными и уже зарегистрированными правами;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 орган предоставляющий услугу не является уполномоченным органом по принятию решений о прекращению права постоянного (бессрочного) пользования </w:t>
      </w:r>
      <w:proofErr w:type="gramStart"/>
      <w:r w:rsidRPr="000E0AC1">
        <w:rPr>
          <w:rFonts w:ascii="Times New Roman" w:eastAsia="Times New Roman" w:hAnsi="Times New Roman" w:cs="Times New Roman"/>
          <w:color w:val="000000"/>
          <w:sz w:val="28"/>
          <w:szCs w:val="28"/>
          <w:lang w:eastAsia="ru-RU"/>
        </w:rPr>
        <w:t>земельными участками</w:t>
      </w:r>
      <w:proofErr w:type="gramEnd"/>
      <w:r w:rsidRPr="000E0AC1">
        <w:rPr>
          <w:rFonts w:ascii="Times New Roman" w:eastAsia="Times New Roman" w:hAnsi="Times New Roman" w:cs="Times New Roman"/>
          <w:color w:val="000000"/>
          <w:sz w:val="28"/>
          <w:szCs w:val="28"/>
          <w:lang w:eastAsia="ru-RU"/>
        </w:rPr>
        <w:t xml:space="preserve"> указанными в заявлении.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Муниципальная услуга предоставляется на безвозмездной основе.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w:t>
      </w:r>
      <w:r w:rsidRPr="000E0AC1">
        <w:rPr>
          <w:rFonts w:ascii="Times New Roman" w:eastAsia="Times New Roman" w:hAnsi="Times New Roman" w:cs="Times New Roman"/>
          <w:color w:val="000000"/>
          <w:sz w:val="28"/>
          <w:szCs w:val="28"/>
          <w:lang w:eastAsia="ru-RU"/>
        </w:rPr>
        <w:lastRenderedPageBreak/>
        <w:t>(праздничные) дни его регистрация производится на следующий рабочий день.</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2.12.1       Прием граждан осуществляется в специально выделенных для предоставления муниципальных услуг помещениях.</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информационными стендами, на которых размещается визуальная и текстовая информация;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стульями и столами для оформления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режим работы органов, предоставляющих муниципальную услугу;</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графики личного приема граждан уполномоченными должностными лицами;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образцы оформления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(ред. пост. от 07.06.2016 № 58 административный регламент </w:t>
      </w:r>
      <w:proofErr w:type="spellStart"/>
      <w:r w:rsidRPr="000E0AC1">
        <w:rPr>
          <w:rFonts w:ascii="Times New Roman" w:eastAsia="Times New Roman" w:hAnsi="Times New Roman" w:cs="Times New Roman"/>
          <w:color w:val="000000"/>
          <w:sz w:val="28"/>
          <w:szCs w:val="28"/>
          <w:lang w:eastAsia="ru-RU"/>
        </w:rPr>
        <w:t>допол</w:t>
      </w:r>
      <w:proofErr w:type="spellEnd"/>
      <w:r w:rsidRPr="000E0AC1">
        <w:rPr>
          <w:rFonts w:ascii="Times New Roman" w:eastAsia="Times New Roman" w:hAnsi="Times New Roman" w:cs="Times New Roman"/>
          <w:color w:val="000000"/>
          <w:sz w:val="28"/>
          <w:szCs w:val="28"/>
          <w:lang w:eastAsia="ru-RU"/>
        </w:rPr>
        <w:t>. пунктом. 2.12.6)</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2.12.6. Требования к обеспечению условий доступности муниципальных услуг для инвалидов.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w:t>
      </w:r>
      <w:proofErr w:type="gramStart"/>
      <w:r w:rsidRPr="000E0AC1">
        <w:rPr>
          <w:rFonts w:ascii="Times New Roman" w:eastAsia="Times New Roman" w:hAnsi="Times New Roman" w:cs="Times New Roman"/>
          <w:color w:val="000000"/>
          <w:sz w:val="28"/>
          <w:szCs w:val="28"/>
          <w:lang w:eastAsia="ru-RU"/>
        </w:rPr>
        <w:t>помещения ,</w:t>
      </w:r>
      <w:proofErr w:type="gramEnd"/>
      <w:r w:rsidRPr="000E0AC1">
        <w:rPr>
          <w:rFonts w:ascii="Times New Roman" w:eastAsia="Times New Roman" w:hAnsi="Times New Roman" w:cs="Times New Roman"/>
          <w:color w:val="000000"/>
          <w:sz w:val="28"/>
          <w:szCs w:val="28"/>
          <w:lang w:eastAsia="ru-RU"/>
        </w:rPr>
        <w:t xml:space="preserve"> в котором предоставляется муниципальная услуга , и получения муниципальной услуги в соответствии с требованиями, установленными Федеральным законом от 24.11.1995 года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Если здание и помещения, в котором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2.13.1       Показателями доступности муниципальной услуги являются: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оборудование мест ожидания в администрации доступными местами общего пользования;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соблюдение графика работы администрации;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возможность получения муниципальной услуги в МФЦ</w:t>
      </w:r>
      <w:r w:rsidRPr="000E0AC1">
        <w:rPr>
          <w:rFonts w:ascii="Times New Roman" w:eastAsia="Times New Roman" w:hAnsi="Times New Roman" w:cs="Times New Roman"/>
          <w:color w:val="000000"/>
          <w:sz w:val="28"/>
          <w:szCs w:val="28"/>
          <w:vertAlign w:val="superscript"/>
          <w:lang w:eastAsia="ru-RU"/>
        </w:rPr>
        <w:t>1</w:t>
      </w:r>
      <w:r w:rsidRPr="000E0AC1">
        <w:rPr>
          <w:rFonts w:ascii="Times New Roman" w:eastAsia="Times New Roman" w:hAnsi="Times New Roman" w:cs="Times New Roman"/>
          <w:color w:val="000000"/>
          <w:sz w:val="28"/>
          <w:szCs w:val="28"/>
          <w:lang w:eastAsia="ru-RU"/>
        </w:rPr>
        <w:t>;</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2.13.2.                                             Показателями качества муниципальной услуги являются: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2.14.1.    Прием заявителей (прием и выдача документов) осуществляется уполномоченными должностными лицами МФЦ</w:t>
      </w:r>
      <w:r w:rsidRPr="000E0AC1">
        <w:rPr>
          <w:rFonts w:ascii="Times New Roman" w:eastAsia="Times New Roman" w:hAnsi="Times New Roman" w:cs="Times New Roman"/>
          <w:color w:val="000000"/>
          <w:sz w:val="28"/>
          <w:szCs w:val="28"/>
          <w:vertAlign w:val="superscript"/>
          <w:lang w:eastAsia="ru-RU"/>
        </w:rPr>
        <w:t>1</w:t>
      </w:r>
      <w:r w:rsidRPr="000E0AC1">
        <w:rPr>
          <w:rFonts w:ascii="Times New Roman" w:eastAsia="Times New Roman" w:hAnsi="Times New Roman" w:cs="Times New Roman"/>
          <w:color w:val="000000"/>
          <w:sz w:val="28"/>
          <w:szCs w:val="28"/>
          <w:lang w:eastAsia="ru-RU"/>
        </w:rPr>
        <w:t>.</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2.14.2.                                             Прием заявителей уполномоченными лицами осуществляется в соответствии с графиком (режимом) работы МФЦ</w:t>
      </w:r>
      <w:r w:rsidRPr="000E0AC1">
        <w:rPr>
          <w:rFonts w:ascii="Times New Roman" w:eastAsia="Times New Roman" w:hAnsi="Times New Roman" w:cs="Times New Roman"/>
          <w:color w:val="000000"/>
          <w:sz w:val="28"/>
          <w:szCs w:val="28"/>
          <w:vertAlign w:val="superscript"/>
          <w:lang w:eastAsia="ru-RU"/>
        </w:rPr>
        <w:t>1</w:t>
      </w:r>
      <w:r w:rsidRPr="000E0AC1">
        <w:rPr>
          <w:rFonts w:ascii="Times New Roman" w:eastAsia="Times New Roman" w:hAnsi="Times New Roman" w:cs="Times New Roman"/>
          <w:color w:val="000000"/>
          <w:sz w:val="28"/>
          <w:szCs w:val="28"/>
          <w:lang w:eastAsia="ru-RU"/>
        </w:rPr>
        <w:t>.</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gramStart"/>
      <w:r w:rsidRPr="000E0AC1">
        <w:rPr>
          <w:rFonts w:ascii="Times New Roman" w:eastAsia="Times New Roman" w:hAnsi="Times New Roman" w:cs="Times New Roman"/>
          <w:color w:val="000000"/>
          <w:sz w:val="28"/>
          <w:szCs w:val="28"/>
          <w:lang w:eastAsia="ru-RU"/>
        </w:rPr>
        <w:t>sovetskoe-vrn.ru )</w:t>
      </w:r>
      <w:proofErr w:type="gramEnd"/>
      <w:r w:rsidRPr="000E0AC1">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(www.gosuslugi.ru) и Портале Воронежской области в сети Интернет (www.pgu.govvr.ru).</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42B49" w:rsidRPr="000E0AC1" w:rsidRDefault="00C42B49" w:rsidP="00C42B49">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w:t>
      </w:r>
      <w:proofErr w:type="spellStart"/>
      <w:r w:rsidRPr="000E0AC1">
        <w:rPr>
          <w:rFonts w:ascii="Times New Roman" w:eastAsia="Times New Roman" w:hAnsi="Times New Roman" w:cs="Times New Roman"/>
          <w:color w:val="000000"/>
          <w:sz w:val="28"/>
          <w:szCs w:val="28"/>
          <w:lang w:eastAsia="ru-RU"/>
        </w:rPr>
        <w:t>Cостав</w:t>
      </w:r>
      <w:proofErr w:type="spellEnd"/>
      <w:r w:rsidRPr="000E0AC1">
        <w:rPr>
          <w:rFonts w:ascii="Times New Roman" w:eastAsia="Times New Roman" w:hAnsi="Times New Roman" w:cs="Times New Roman"/>
          <w:color w:val="000000"/>
          <w:sz w:val="28"/>
          <w:szCs w:val="28"/>
          <w:lang w:eastAsia="ru-RU"/>
        </w:rPr>
        <w:t>, последовательность и сроки выполнения административных процедур, требования к порядку их выполнения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0E0AC1">
        <w:rPr>
          <w:rFonts w:ascii="Times New Roman" w:eastAsia="Times New Roman" w:hAnsi="Times New Roman" w:cs="Times New Roman"/>
          <w:color w:val="000000"/>
          <w:sz w:val="28"/>
          <w:szCs w:val="28"/>
          <w:vertAlign w:val="superscript"/>
          <w:lang w:eastAsia="ru-RU"/>
        </w:rPr>
        <w:t>1</w:t>
      </w:r>
      <w:r w:rsidRPr="000E0AC1">
        <w:rPr>
          <w:rFonts w:ascii="Times New Roman" w:eastAsia="Times New Roman" w:hAnsi="Times New Roman" w:cs="Times New Roman"/>
          <w:color w:val="000000"/>
          <w:sz w:val="28"/>
          <w:szCs w:val="28"/>
          <w:lang w:eastAsia="ru-RU"/>
        </w:rPr>
        <w:t>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К заявлению должны быть приложены документы, указанные в п. 2.6.1 настоящего Административного регламента.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3.2.3. При личном обращении заявителя или уполномоченного представителя в администрацию или в МФЦ</w:t>
      </w:r>
      <w:r w:rsidRPr="000E0AC1">
        <w:rPr>
          <w:rFonts w:ascii="Times New Roman" w:eastAsia="Times New Roman" w:hAnsi="Times New Roman" w:cs="Times New Roman"/>
          <w:color w:val="000000"/>
          <w:sz w:val="28"/>
          <w:szCs w:val="28"/>
          <w:vertAlign w:val="superscript"/>
          <w:lang w:eastAsia="ru-RU"/>
        </w:rPr>
        <w:t>1</w:t>
      </w:r>
      <w:r w:rsidRPr="000E0AC1">
        <w:rPr>
          <w:rFonts w:ascii="Times New Roman" w:eastAsia="Times New Roman" w:hAnsi="Times New Roman" w:cs="Times New Roman"/>
          <w:color w:val="000000"/>
          <w:sz w:val="28"/>
          <w:szCs w:val="28"/>
          <w:lang w:eastAsia="ru-RU"/>
        </w:rPr>
        <w:t> должностное лицо, уполномоченное на прием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проверяет соответствие заявления установленным требованиям;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регистрирует заявление с прилагаемым комплектом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w:t>
      </w:r>
      <w:r w:rsidRPr="000E0AC1">
        <w:rPr>
          <w:rFonts w:ascii="Times New Roman" w:eastAsia="Times New Roman" w:hAnsi="Times New Roman" w:cs="Times New Roman"/>
          <w:color w:val="000000"/>
          <w:sz w:val="28"/>
          <w:szCs w:val="28"/>
          <w:lang w:eastAsia="ru-RU"/>
        </w:rPr>
        <w:lastRenderedPageBreak/>
        <w:t>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0E0AC1">
        <w:rPr>
          <w:rFonts w:ascii="Times New Roman" w:eastAsia="Times New Roman" w:hAnsi="Times New Roman" w:cs="Times New Roman"/>
          <w:color w:val="000000"/>
          <w:sz w:val="28"/>
          <w:szCs w:val="28"/>
          <w:vertAlign w:val="superscript"/>
          <w:lang w:eastAsia="ru-RU"/>
        </w:rPr>
        <w:t>1</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3.2.7. Максимальный срок исполнения административной процедуры - 1 календарный день.</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3.3.2. Специалист администрации ответственный за прием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а) в </w:t>
      </w:r>
      <w:proofErr w:type="spellStart"/>
      <w:r w:rsidRPr="000E0AC1">
        <w:rPr>
          <w:rFonts w:ascii="Times New Roman" w:eastAsia="Times New Roman" w:hAnsi="Times New Roman" w:cs="Times New Roman"/>
          <w:color w:val="000000"/>
          <w:sz w:val="28"/>
          <w:szCs w:val="28"/>
          <w:lang w:eastAsia="ru-RU"/>
        </w:rPr>
        <w:t>Калачеевский</w:t>
      </w:r>
      <w:proofErr w:type="spellEnd"/>
      <w:r w:rsidRPr="000E0AC1">
        <w:rPr>
          <w:rFonts w:ascii="Times New Roman" w:eastAsia="Times New Roman" w:hAnsi="Times New Roman" w:cs="Times New Roman"/>
          <w:color w:val="000000"/>
          <w:sz w:val="28"/>
          <w:szCs w:val="28"/>
          <w:lang w:eastAsia="ru-RU"/>
        </w:rPr>
        <w:t> отдел управления Федеральной службы государственной регистрации, кадастра и картографии по Воронежской области для получения: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выписки из Единого государственного реестра недвижимости о зарегистрированных правах на указанный в заявлении земельный участок;</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 выписки из Единого государственного реестра недвижимости о зарегистрированных правах на объекты недвижимого имущества, находящиеся на указанном в заявлении земельном участке.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б) в Управлении Федеральной налоговой службы по Воронежской области для получения: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в) в отдел Калачеевского филиала ФГБУ «Федеральная Кадастровая Палата </w:t>
      </w:r>
      <w:proofErr w:type="spellStart"/>
      <w:r w:rsidRPr="000E0AC1">
        <w:rPr>
          <w:rFonts w:ascii="Times New Roman" w:eastAsia="Times New Roman" w:hAnsi="Times New Roman" w:cs="Times New Roman"/>
          <w:color w:val="000000"/>
          <w:sz w:val="28"/>
          <w:szCs w:val="28"/>
          <w:lang w:eastAsia="ru-RU"/>
        </w:rPr>
        <w:t>Росреестра</w:t>
      </w:r>
      <w:proofErr w:type="spellEnd"/>
      <w:r w:rsidRPr="000E0AC1">
        <w:rPr>
          <w:rFonts w:ascii="Times New Roman" w:eastAsia="Times New Roman" w:hAnsi="Times New Roman" w:cs="Times New Roman"/>
          <w:color w:val="000000"/>
          <w:sz w:val="28"/>
          <w:szCs w:val="28"/>
          <w:lang w:eastAsia="ru-RU"/>
        </w:rPr>
        <w:t>» по Воронежской области для получения кадастровой выписки о земельном участке.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3.3.4. Максимальный срок исполнения административной процедуры - 10 календарных дней.</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3.4.3. По результатам принятого решения специалист: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Направляет подготовленный проект постановления для подписания уполномоченному должностному лицу главе </w:t>
      </w:r>
      <w:proofErr w:type="gramStart"/>
      <w:r w:rsidRPr="000E0AC1">
        <w:rPr>
          <w:rFonts w:ascii="Times New Roman" w:eastAsia="Times New Roman" w:hAnsi="Times New Roman" w:cs="Times New Roman"/>
          <w:color w:val="000000"/>
          <w:sz w:val="28"/>
          <w:szCs w:val="28"/>
          <w:lang w:eastAsia="ru-RU"/>
        </w:rPr>
        <w:t>поселения .</w:t>
      </w:r>
      <w:proofErr w:type="gramEnd"/>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3.4.5. Максимальный срок исполнения административной процедуры - 19 календарных дней.</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3.5.2.1. В случае если право постоянного (бессрочного) пользования земельным участком не было ранее зарегистрировано в Едином государственном реестре недвижимости,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3.5.2.2. В случае если право постоянного (бессрочного) пользования земельным участком было ранее зарегистрировано в Едином государственном реестре недвижимости,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3.5.4. Максимальный срок исполнения административной процедуры - 3 календарных дня.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Заявление в форме электронного документа подписывается заявителем с использованием простой электронной подписи.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3.6.3. Получение результата муниципальной услуги в электронной форме не предусмотрено.</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Для получения кадастровой выписки о земельном участке предусмотрено межведомственное взаимодействие с отделом Калачеевского филиала ФГБУ «Федеральная Кадастровая Палата </w:t>
      </w:r>
      <w:proofErr w:type="spellStart"/>
      <w:r w:rsidRPr="000E0AC1">
        <w:rPr>
          <w:rFonts w:ascii="Times New Roman" w:eastAsia="Times New Roman" w:hAnsi="Times New Roman" w:cs="Times New Roman"/>
          <w:color w:val="000000"/>
          <w:sz w:val="28"/>
          <w:szCs w:val="28"/>
          <w:lang w:eastAsia="ru-RU"/>
        </w:rPr>
        <w:t>Росреестра</w:t>
      </w:r>
      <w:proofErr w:type="spellEnd"/>
      <w:r w:rsidRPr="000E0AC1">
        <w:rPr>
          <w:rFonts w:ascii="Times New Roman" w:eastAsia="Times New Roman" w:hAnsi="Times New Roman" w:cs="Times New Roman"/>
          <w:color w:val="000000"/>
          <w:sz w:val="28"/>
          <w:szCs w:val="28"/>
          <w:lang w:eastAsia="ru-RU"/>
        </w:rPr>
        <w:t>» по Воронежской области в электронной форме.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w:t>
      </w:r>
    </w:p>
    <w:p w:rsidR="00C42B49" w:rsidRPr="000E0AC1" w:rsidRDefault="00C42B49" w:rsidP="00C42B49">
      <w:pPr>
        <w:spacing w:after="0" w:line="240" w:lineRule="auto"/>
        <w:ind w:left="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4.Формы контроля за исполнением административного регламента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42B49" w:rsidRPr="000E0AC1" w:rsidRDefault="00C42B49" w:rsidP="00C42B49">
      <w:pPr>
        <w:spacing w:after="0" w:line="240" w:lineRule="auto"/>
        <w:ind w:firstLine="709"/>
        <w:jc w:val="both"/>
        <w:rPr>
          <w:rFonts w:ascii="Times New Roman" w:eastAsia="Times New Roman" w:hAnsi="Times New Roman" w:cs="Times New Roman"/>
          <w:b/>
          <w:bCs/>
          <w:color w:val="000000"/>
          <w:sz w:val="28"/>
          <w:szCs w:val="28"/>
          <w:lang w:eastAsia="ru-RU"/>
        </w:rPr>
      </w:pPr>
      <w:r w:rsidRPr="000E0AC1">
        <w:rPr>
          <w:rFonts w:ascii="Times New Roman" w:eastAsia="Times New Roman" w:hAnsi="Times New Roman" w:cs="Times New Roman"/>
          <w:color w:val="000000"/>
          <w:sz w:val="28"/>
          <w:szCs w:val="28"/>
          <w:lang w:eastAsia="ru-RU"/>
        </w:rPr>
        <w:t>4.4. Проведение текущего контроля должно осуществляться не реже двух раз в год.</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(наименование раздела 5 </w:t>
      </w:r>
      <w:proofErr w:type="spellStart"/>
      <w:r w:rsidRPr="000E0AC1">
        <w:rPr>
          <w:rFonts w:ascii="Times New Roman" w:eastAsia="Times New Roman" w:hAnsi="Times New Roman" w:cs="Times New Roman"/>
          <w:color w:val="000000"/>
          <w:sz w:val="28"/>
          <w:szCs w:val="28"/>
          <w:lang w:eastAsia="ru-RU"/>
        </w:rPr>
        <w:t>излож</w:t>
      </w:r>
      <w:proofErr w:type="spellEnd"/>
      <w:r w:rsidRPr="000E0AC1">
        <w:rPr>
          <w:rFonts w:ascii="Times New Roman" w:eastAsia="Times New Roman" w:hAnsi="Times New Roman" w:cs="Times New Roman"/>
          <w:color w:val="000000"/>
          <w:sz w:val="28"/>
          <w:szCs w:val="28"/>
          <w:lang w:eastAsia="ru-RU"/>
        </w:rPr>
        <w:t xml:space="preserve">. в ред. пост. от 14.03.2019 № 18, раздел 5 </w:t>
      </w:r>
      <w:proofErr w:type="spellStart"/>
      <w:r w:rsidRPr="000E0AC1">
        <w:rPr>
          <w:rFonts w:ascii="Times New Roman" w:eastAsia="Times New Roman" w:hAnsi="Times New Roman" w:cs="Times New Roman"/>
          <w:color w:val="000000"/>
          <w:sz w:val="28"/>
          <w:szCs w:val="28"/>
          <w:lang w:eastAsia="ru-RU"/>
        </w:rPr>
        <w:t>излож</w:t>
      </w:r>
      <w:proofErr w:type="spellEnd"/>
      <w:r w:rsidRPr="000E0AC1">
        <w:rPr>
          <w:rFonts w:ascii="Times New Roman" w:eastAsia="Times New Roman" w:hAnsi="Times New Roman" w:cs="Times New Roman"/>
          <w:color w:val="000000"/>
          <w:sz w:val="28"/>
          <w:szCs w:val="28"/>
          <w:lang w:eastAsia="ru-RU"/>
        </w:rPr>
        <w:t>. в ред. пост. от 19.12.2022 № 76)</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5.1. Заявители имеют право на обжалование решений и действий (бездействия) администрации</w:t>
      </w:r>
      <w:r w:rsidRPr="000E0AC1">
        <w:rPr>
          <w:rFonts w:ascii="Times New Roman" w:eastAsia="Times New Roman" w:hAnsi="Times New Roman" w:cs="Times New Roman"/>
          <w:i/>
          <w:iCs/>
          <w:color w:val="000000"/>
          <w:sz w:val="28"/>
          <w:szCs w:val="28"/>
          <w:lang w:eastAsia="ru-RU"/>
        </w:rPr>
        <w:t>,</w:t>
      </w:r>
      <w:r w:rsidRPr="000E0AC1">
        <w:rPr>
          <w:rFonts w:ascii="Times New Roman" w:eastAsia="Times New Roman" w:hAnsi="Times New Roman" w:cs="Times New Roman"/>
          <w:color w:val="000000"/>
          <w:sz w:val="28"/>
          <w:szCs w:val="28"/>
          <w:lang w:eastAsia="ru-RU"/>
        </w:rPr>
        <w:t> должностного лица администрации либо муниципального</w:t>
      </w:r>
    </w:p>
    <w:p w:rsidR="00C42B49" w:rsidRPr="000E0AC1" w:rsidRDefault="00C42B49" w:rsidP="00C42B49">
      <w:pPr>
        <w:spacing w:after="0" w:line="240" w:lineRule="auto"/>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w:t>
      </w:r>
      <w:r w:rsidRPr="000E0AC1">
        <w:rPr>
          <w:rFonts w:ascii="Times New Roman" w:eastAsia="Times New Roman" w:hAnsi="Times New Roman" w:cs="Times New Roman"/>
          <w:color w:val="000000"/>
          <w:sz w:val="28"/>
          <w:szCs w:val="28"/>
          <w:lang w:eastAsia="ru-RU"/>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5.4. Оснований для отказа в рассмотрении жалобы не имеется.</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5.5. Основанием для начала процедуры досудебного (внесудебного) обжалования является поступившая жалоба.</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5.6. Жалоба должна содержать:</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0E0AC1">
        <w:rPr>
          <w:rFonts w:ascii="Times New Roman" w:eastAsia="Times New Roman" w:hAnsi="Times New Roman" w:cs="Times New Roman"/>
          <w:i/>
          <w:iCs/>
          <w:color w:val="000000"/>
          <w:sz w:val="28"/>
          <w:szCs w:val="28"/>
          <w:lang w:eastAsia="ru-RU"/>
        </w:rPr>
        <w:t>.</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bookmarkStart w:id="0" w:name="Par49"/>
      <w:bookmarkEnd w:id="0"/>
      <w:r w:rsidRPr="000E0AC1">
        <w:rPr>
          <w:rFonts w:ascii="Times New Roman" w:eastAsia="Times New Roman" w:hAnsi="Times New Roman" w:cs="Times New Roman"/>
          <w:color w:val="000000"/>
          <w:sz w:val="28"/>
          <w:szCs w:val="28"/>
          <w:lang w:eastAsia="ru-RU"/>
        </w:rPr>
        <w:t>5.9. По результатам рассмотрения жалобы лицом, уполномоченным на ее рассмотрение, принимается одно из следующих решений:</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 в удовлетворении жалобы отказывается.</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w:t>
      </w:r>
      <w:r w:rsidRPr="000E0AC1">
        <w:rPr>
          <w:rFonts w:ascii="Times New Roman" w:eastAsia="Times New Roman" w:hAnsi="Times New Roman" w:cs="Times New Roman"/>
          <w:color w:val="000000"/>
          <w:sz w:val="28"/>
          <w:szCs w:val="28"/>
          <w:lang w:eastAsia="ru-RU"/>
        </w:rPr>
        <w:lastRenderedPageBreak/>
        <w:t>предоставления государственных услуг в Воронежской области» в отношении того же заявителя и по тому же предмету жалобы;</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4) если обжалуемые действия являются правомерными.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bookmarkStart w:id="1" w:name="Par54"/>
      <w:bookmarkEnd w:id="1"/>
      <w:r w:rsidRPr="000E0AC1">
        <w:rPr>
          <w:rFonts w:ascii="Times New Roman" w:eastAsia="Times New Roman" w:hAnsi="Times New Roman" w:cs="Times New Roman"/>
          <w:color w:val="000000"/>
          <w:sz w:val="28"/>
          <w:szCs w:val="28"/>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2B49" w:rsidRPr="000E0AC1" w:rsidRDefault="00C42B49" w:rsidP="00C42B49">
      <w:pPr>
        <w:spacing w:after="0" w:line="240" w:lineRule="auto"/>
        <w:ind w:firstLine="56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0AC1" w:rsidRDefault="00C42B49" w:rsidP="00C42B49">
      <w:pPr>
        <w:spacing w:after="0" w:line="240" w:lineRule="auto"/>
        <w:ind w:left="538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br w:type="textWrapping" w:clear="all"/>
      </w:r>
    </w:p>
    <w:p w:rsidR="00C42B49" w:rsidRPr="000E0AC1" w:rsidRDefault="00C42B49" w:rsidP="00C42B49">
      <w:pPr>
        <w:spacing w:after="0" w:line="240" w:lineRule="auto"/>
        <w:ind w:left="5387"/>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Приложение № 1 к Административному регламенту</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1. Место нахождения администрации Советского сельского поселения Калачеевского муниципального района Воронежской области :397609, Воронежская область, </w:t>
      </w:r>
      <w:proofErr w:type="spellStart"/>
      <w:r w:rsidRPr="000E0AC1">
        <w:rPr>
          <w:rFonts w:ascii="Times New Roman" w:eastAsia="Times New Roman" w:hAnsi="Times New Roman" w:cs="Times New Roman"/>
          <w:color w:val="000000"/>
          <w:sz w:val="28"/>
          <w:szCs w:val="28"/>
          <w:lang w:eastAsia="ru-RU"/>
        </w:rPr>
        <w:t>Калачеевский</w:t>
      </w:r>
      <w:proofErr w:type="spellEnd"/>
      <w:r w:rsidRPr="000E0AC1">
        <w:rPr>
          <w:rFonts w:ascii="Times New Roman" w:eastAsia="Times New Roman" w:hAnsi="Times New Roman" w:cs="Times New Roman"/>
          <w:color w:val="000000"/>
          <w:sz w:val="28"/>
          <w:szCs w:val="28"/>
          <w:lang w:eastAsia="ru-RU"/>
        </w:rPr>
        <w:t xml:space="preserve"> район, с. Советское, ул. Советская, д. 49</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График работы администрации Советского сельского поселения Калачеевского муниципального района Воронежской области: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понедельник - четверг: с 08.00 до 17.00;</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пятница: с 08.00 до 16.00;</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перерыв: с 13.00 до 14.00.</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Официальный сайт администрации Советского сельского поселения Калачеевского муниципального района Воронежской области в сети Интернет: </w:t>
      </w:r>
      <w:proofErr w:type="gramStart"/>
      <w:r w:rsidRPr="000E0AC1">
        <w:rPr>
          <w:rFonts w:ascii="Times New Roman" w:eastAsia="Times New Roman" w:hAnsi="Times New Roman" w:cs="Times New Roman"/>
          <w:color w:val="000000"/>
          <w:sz w:val="28"/>
          <w:szCs w:val="28"/>
          <w:lang w:eastAsia="ru-RU"/>
        </w:rPr>
        <w:t>www.sovetskoe-vrn.ru .</w:t>
      </w:r>
      <w:proofErr w:type="gramEnd"/>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Адрес электронной почты администрации </w:t>
      </w:r>
      <w:proofErr w:type="spellStart"/>
      <w:r w:rsidRPr="000E0AC1">
        <w:rPr>
          <w:rFonts w:ascii="Times New Roman" w:eastAsia="Times New Roman" w:hAnsi="Times New Roman" w:cs="Times New Roman"/>
          <w:color w:val="000000"/>
          <w:sz w:val="28"/>
          <w:szCs w:val="28"/>
          <w:lang w:eastAsia="ru-RU"/>
        </w:rPr>
        <w:t>Cоветского</w:t>
      </w:r>
      <w:proofErr w:type="spellEnd"/>
      <w:r w:rsidRPr="000E0AC1">
        <w:rPr>
          <w:rFonts w:ascii="Times New Roman" w:eastAsia="Times New Roman" w:hAnsi="Times New Roman" w:cs="Times New Roman"/>
          <w:color w:val="000000"/>
          <w:sz w:val="28"/>
          <w:szCs w:val="28"/>
          <w:lang w:eastAsia="ru-RU"/>
        </w:rPr>
        <w:t xml:space="preserve"> сельского поселения Калачеевского муниципального района Воронежской области: sovetskoeselskoe@mail.ru</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2. Телефоны для справок: 8(47363)51-2-47.</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3.1. Место нахождения АУ «МФЦ»: 394026, г. Воронеж, ул. Дружинников, 3б (Коминтерновский район).</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Телефон для справок АУ «МФЦ»: (473) 226-99-99.</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Официальный сайт АУ «МФЦ» в сети Интернет: mfc.vrn.ru.</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Адрес электронной почты АУ «МФЦ»: odno-okno@mail.ru.</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График работы АУ «МФЦ»:</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вторник, четверг, пятница: с 09.00 до 18.00;</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среда: с 11.00 до 20.00;</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суббота: с 09.00 до 16.45.</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3.2. Место нахождения филиала АУ «МФЦ» в </w:t>
      </w:r>
      <w:proofErr w:type="spellStart"/>
      <w:r w:rsidRPr="000E0AC1">
        <w:rPr>
          <w:rFonts w:ascii="Times New Roman" w:eastAsia="Times New Roman" w:hAnsi="Times New Roman" w:cs="Times New Roman"/>
          <w:color w:val="000000"/>
          <w:sz w:val="28"/>
          <w:szCs w:val="28"/>
          <w:lang w:eastAsia="ru-RU"/>
        </w:rPr>
        <w:t>Калачеевском</w:t>
      </w:r>
      <w:proofErr w:type="spellEnd"/>
      <w:r w:rsidRPr="000E0AC1">
        <w:rPr>
          <w:rFonts w:ascii="Times New Roman" w:eastAsia="Times New Roman" w:hAnsi="Times New Roman" w:cs="Times New Roman"/>
          <w:color w:val="000000"/>
          <w:sz w:val="28"/>
          <w:szCs w:val="28"/>
          <w:lang w:eastAsia="ru-RU"/>
        </w:rPr>
        <w:t xml:space="preserve"> муниципальном районе:</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Воронежская область, г. Калач, пл. Ленина, д. 5</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Телефон для справок филиала АУ «МФЦ»: 8(47363)2-92-92.</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График работы филиала АУ «МФЦ»:</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Вторник, четверг, пятница с 8.00 до 17.00. Перерыв с 12.00 до 12.45</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Суббота с 8.00 до 15.45. Перерыв с 12.00 до 12.45.</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Среда с 11.00 до 20.00. Перерыв с 15.00 до 15.45.</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br w:type="textWrapping" w:clear="all"/>
      </w:r>
    </w:p>
    <w:tbl>
      <w:tblPr>
        <w:tblW w:w="0" w:type="auto"/>
        <w:tblCellMar>
          <w:left w:w="0" w:type="dxa"/>
          <w:right w:w="0" w:type="dxa"/>
        </w:tblCellMar>
        <w:tblLook w:val="04A0" w:firstRow="1" w:lastRow="0" w:firstColumn="1" w:lastColumn="0" w:noHBand="0" w:noVBand="1"/>
      </w:tblPr>
      <w:tblGrid>
        <w:gridCol w:w="1746"/>
        <w:gridCol w:w="7609"/>
      </w:tblGrid>
      <w:tr w:rsidR="00C42B49" w:rsidRPr="000E0AC1" w:rsidTr="00C42B49">
        <w:tc>
          <w:tcPr>
            <w:tcW w:w="1940" w:type="dxa"/>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7636" w:type="dxa"/>
            <w:tcMar>
              <w:top w:w="0" w:type="dxa"/>
              <w:left w:w="108" w:type="dxa"/>
              <w:bottom w:w="0" w:type="dxa"/>
              <w:right w:w="108" w:type="dxa"/>
            </w:tcMar>
            <w:hideMark/>
          </w:tcPr>
          <w:p w:rsidR="000E0AC1" w:rsidRDefault="000E0AC1" w:rsidP="00C42B49">
            <w:pPr>
              <w:spacing w:after="0" w:line="240" w:lineRule="auto"/>
              <w:ind w:firstLine="709"/>
              <w:jc w:val="both"/>
              <w:rPr>
                <w:rFonts w:ascii="Times New Roman" w:eastAsia="Times New Roman" w:hAnsi="Times New Roman" w:cs="Times New Roman"/>
                <w:sz w:val="28"/>
                <w:szCs w:val="28"/>
                <w:lang w:eastAsia="ru-RU"/>
              </w:rPr>
            </w:pPr>
          </w:p>
          <w:p w:rsidR="000E0AC1" w:rsidRDefault="000E0AC1" w:rsidP="00C42B49">
            <w:pPr>
              <w:spacing w:after="0" w:line="240" w:lineRule="auto"/>
              <w:ind w:firstLine="709"/>
              <w:jc w:val="both"/>
              <w:rPr>
                <w:rFonts w:ascii="Times New Roman" w:eastAsia="Times New Roman" w:hAnsi="Times New Roman" w:cs="Times New Roman"/>
                <w:sz w:val="28"/>
                <w:szCs w:val="28"/>
                <w:lang w:eastAsia="ru-RU"/>
              </w:rPr>
            </w:pPr>
          </w:p>
          <w:p w:rsidR="000E0AC1" w:rsidRDefault="000E0AC1" w:rsidP="00C42B49">
            <w:pPr>
              <w:spacing w:after="0" w:line="240" w:lineRule="auto"/>
              <w:ind w:firstLine="709"/>
              <w:jc w:val="both"/>
              <w:rPr>
                <w:rFonts w:ascii="Times New Roman" w:eastAsia="Times New Roman" w:hAnsi="Times New Roman" w:cs="Times New Roman"/>
                <w:sz w:val="28"/>
                <w:szCs w:val="28"/>
                <w:lang w:eastAsia="ru-RU"/>
              </w:rPr>
            </w:pPr>
          </w:p>
          <w:p w:rsidR="000E0AC1" w:rsidRDefault="000E0AC1" w:rsidP="00C42B49">
            <w:pPr>
              <w:spacing w:after="0" w:line="240" w:lineRule="auto"/>
              <w:ind w:firstLine="709"/>
              <w:jc w:val="both"/>
              <w:rPr>
                <w:rFonts w:ascii="Times New Roman" w:eastAsia="Times New Roman" w:hAnsi="Times New Roman" w:cs="Times New Roman"/>
                <w:sz w:val="28"/>
                <w:szCs w:val="28"/>
                <w:lang w:eastAsia="ru-RU"/>
              </w:rPr>
            </w:pPr>
          </w:p>
          <w:p w:rsidR="000E0AC1" w:rsidRDefault="000E0AC1" w:rsidP="00C42B49">
            <w:pPr>
              <w:spacing w:after="0" w:line="240" w:lineRule="auto"/>
              <w:ind w:firstLine="709"/>
              <w:jc w:val="both"/>
              <w:rPr>
                <w:rFonts w:ascii="Times New Roman" w:eastAsia="Times New Roman" w:hAnsi="Times New Roman" w:cs="Times New Roman"/>
                <w:sz w:val="28"/>
                <w:szCs w:val="28"/>
                <w:lang w:eastAsia="ru-RU"/>
              </w:rPr>
            </w:pPr>
          </w:p>
          <w:p w:rsidR="000E0AC1" w:rsidRDefault="000E0AC1" w:rsidP="00C42B49">
            <w:pPr>
              <w:spacing w:after="0" w:line="240" w:lineRule="auto"/>
              <w:ind w:firstLine="709"/>
              <w:jc w:val="both"/>
              <w:rPr>
                <w:rFonts w:ascii="Times New Roman" w:eastAsia="Times New Roman" w:hAnsi="Times New Roman" w:cs="Times New Roman"/>
                <w:sz w:val="28"/>
                <w:szCs w:val="28"/>
                <w:lang w:eastAsia="ru-RU"/>
              </w:rPr>
            </w:pP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lastRenderedPageBreak/>
              <w:t>Приложение № 2 к Административному регламенту</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Форма заявления</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В администрацию Советского сельского поселения</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Дубровину Семену Васильевичу</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(Ф.И.О.)</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Для физических лиц:</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(Ф.И.О. заявителя)</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(паспортные данные)</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(по доверенности в интересах)</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(адрес регистрации)</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Контактный телефон 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(указывается по желанию)</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Для юридических лиц:</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(полное наименование юридического лица)</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_______________________________________________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(Ф.И.О. руководителя)</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_______________________________________________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(почтовый адрес)</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_______________________________________________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(по доверенности в интересах)</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ОГРН________________________________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ИНН________________________________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Контактный телефон ___________________</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(указывается по желанию)</w:t>
            </w:r>
          </w:p>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r>
    </w:tbl>
    <w:p w:rsidR="00C42B49" w:rsidRPr="000E0AC1" w:rsidRDefault="00C42B49" w:rsidP="00C42B49">
      <w:pPr>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ЗАЯВЛЕНИЕ</w:t>
      </w:r>
    </w:p>
    <w:p w:rsidR="00C42B49" w:rsidRPr="000E0AC1" w:rsidRDefault="00C42B49" w:rsidP="00C42B49">
      <w:pPr>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о прекращении права постоянного (бессрочного) пользования</w:t>
      </w:r>
    </w:p>
    <w:p w:rsidR="00C42B49" w:rsidRPr="000E0AC1" w:rsidRDefault="00C42B49" w:rsidP="00C42B49">
      <w:pPr>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земельным участком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(не нужное зачеркнуть)</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площадью ___________ кв. м, кадастровый номер_____________________ (при наличии), расположенный по </w:t>
      </w:r>
      <w:proofErr w:type="gramStart"/>
      <w:r w:rsidRPr="000E0AC1">
        <w:rPr>
          <w:rFonts w:ascii="Times New Roman" w:eastAsia="Times New Roman" w:hAnsi="Times New Roman" w:cs="Times New Roman"/>
          <w:color w:val="000000"/>
          <w:sz w:val="28"/>
          <w:szCs w:val="28"/>
          <w:lang w:eastAsia="ru-RU"/>
        </w:rPr>
        <w:t>адресу:_</w:t>
      </w:r>
      <w:proofErr w:type="gramEnd"/>
      <w:r w:rsidRPr="000E0AC1">
        <w:rPr>
          <w:rFonts w:ascii="Times New Roman" w:eastAsia="Times New Roman" w:hAnsi="Times New Roman" w:cs="Times New Roman"/>
          <w:color w:val="000000"/>
          <w:sz w:val="28"/>
          <w:szCs w:val="28"/>
          <w:lang w:eastAsia="ru-RU"/>
        </w:rPr>
        <w:t>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Решение о прекращении права постоянного (бессрочного) пользования земельным участком прошу выдать мне лично (или уполномоченному </w:t>
      </w:r>
      <w:proofErr w:type="gramStart"/>
      <w:r w:rsidRPr="000E0AC1">
        <w:rPr>
          <w:rFonts w:ascii="Times New Roman" w:eastAsia="Times New Roman" w:hAnsi="Times New Roman" w:cs="Times New Roman"/>
          <w:color w:val="000000"/>
          <w:sz w:val="28"/>
          <w:szCs w:val="28"/>
          <w:lang w:eastAsia="ru-RU"/>
        </w:rPr>
        <w:t>представителю)/</w:t>
      </w:r>
      <w:proofErr w:type="gramEnd"/>
      <w:r w:rsidRPr="000E0AC1">
        <w:rPr>
          <w:rFonts w:ascii="Times New Roman" w:eastAsia="Times New Roman" w:hAnsi="Times New Roman" w:cs="Times New Roman"/>
          <w:color w:val="000000"/>
          <w:sz w:val="28"/>
          <w:szCs w:val="28"/>
          <w:lang w:eastAsia="ru-RU"/>
        </w:rPr>
        <w:t>выслать по почте (по желанию заявителя).</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Приложения: (указывается список прилагаемых к заявлению документов):</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__________________________________________________________________________________________________</w:t>
      </w:r>
      <w:r w:rsidR="000E0AC1">
        <w:rPr>
          <w:rFonts w:ascii="Times New Roman" w:eastAsia="Times New Roman" w:hAnsi="Times New Roman" w:cs="Times New Roman"/>
          <w:color w:val="000000"/>
          <w:sz w:val="28"/>
          <w:szCs w:val="28"/>
          <w:lang w:eastAsia="ru-RU"/>
        </w:rPr>
        <w:t>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_______________________ _______________ _________________</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(должность) (подпись) (фамилия И.О.)</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М.П.»</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br w:type="textWrapping" w:clear="all"/>
      </w: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C42B49" w:rsidRPr="000E0AC1" w:rsidRDefault="00C42B49" w:rsidP="00C42B49">
      <w:pPr>
        <w:spacing w:after="0" w:line="240" w:lineRule="auto"/>
        <w:ind w:left="5245"/>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lastRenderedPageBreak/>
        <w:t>Приложение № 3 к административному регламенту</w:t>
      </w:r>
    </w:p>
    <w:tbl>
      <w:tblPr>
        <w:tblW w:w="9528" w:type="dxa"/>
        <w:tblCellMar>
          <w:left w:w="0" w:type="dxa"/>
          <w:right w:w="0" w:type="dxa"/>
        </w:tblCellMar>
        <w:tblLook w:val="04A0" w:firstRow="1" w:lastRow="0" w:firstColumn="1" w:lastColumn="0" w:noHBand="0" w:noVBand="1"/>
      </w:tblPr>
      <w:tblGrid>
        <w:gridCol w:w="1241"/>
        <w:gridCol w:w="34"/>
        <w:gridCol w:w="957"/>
        <w:gridCol w:w="254"/>
        <w:gridCol w:w="995"/>
        <w:gridCol w:w="995"/>
        <w:gridCol w:w="701"/>
        <w:gridCol w:w="515"/>
        <w:gridCol w:w="825"/>
        <w:gridCol w:w="157"/>
        <w:gridCol w:w="902"/>
        <w:gridCol w:w="246"/>
        <w:gridCol w:w="899"/>
        <w:gridCol w:w="1083"/>
        <w:gridCol w:w="14"/>
      </w:tblGrid>
      <w:tr w:rsidR="00C42B49" w:rsidRPr="000E0AC1" w:rsidTr="00C42B49">
        <w:tc>
          <w:tcPr>
            <w:tcW w:w="0" w:type="auto"/>
            <w:hideMark/>
          </w:tcPr>
          <w:p w:rsidR="00C42B49" w:rsidRPr="000E0AC1" w:rsidRDefault="00C42B49" w:rsidP="00C42B49">
            <w:pPr>
              <w:spacing w:after="0" w:line="240" w:lineRule="auto"/>
              <w:rPr>
                <w:rFonts w:ascii="Times New Roman" w:eastAsia="Times New Roman" w:hAnsi="Times New Roman" w:cs="Times New Roman"/>
                <w:color w:val="000000"/>
                <w:sz w:val="28"/>
                <w:szCs w:val="28"/>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Прием и регистрация заявления и прилагаемых к нему документов</w:t>
            </w: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r>
      <w:tr w:rsidR="00C42B49" w:rsidRPr="000E0AC1" w:rsidTr="00C42B49">
        <w:tc>
          <w:tcPr>
            <w:tcW w:w="2239" w:type="dxa"/>
            <w:gridSpan w:val="3"/>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2262" w:type="dxa"/>
            <w:gridSpan w:val="2"/>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236" w:type="dxa"/>
            <w:tcBorders>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1352" w:type="dxa"/>
            <w:gridSpan w:val="2"/>
            <w:tcBorders>
              <w:lef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1307" w:type="dxa"/>
            <w:gridSpan w:val="4"/>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2132" w:type="dxa"/>
            <w:gridSpan w:val="3"/>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r>
      <w:tr w:rsidR="00C42B49" w:rsidRPr="000E0AC1" w:rsidTr="00C42B49">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r>
      <w:tr w:rsidR="00C42B49" w:rsidRPr="000E0AC1" w:rsidTr="00C42B49">
        <w:tc>
          <w:tcPr>
            <w:tcW w:w="2518" w:type="dxa"/>
            <w:gridSpan w:val="4"/>
            <w:tcBorders>
              <w:bottom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1965" w:type="dxa"/>
            <w:gridSpan w:val="2"/>
            <w:tcBorders>
              <w:bottom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1720" w:type="dxa"/>
            <w:gridSpan w:val="2"/>
            <w:tcBorders>
              <w:left w:val="single" w:sz="6" w:space="0" w:color="000000"/>
              <w:bottom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567" w:type="dxa"/>
            <w:gridSpan w:val="2"/>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2376" w:type="dxa"/>
            <w:gridSpan w:val="3"/>
            <w:tcBorders>
              <w:bottom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r>
      <w:tr w:rsidR="00C42B49" w:rsidRPr="000E0AC1" w:rsidTr="00C42B49">
        <w:trPr>
          <w:trHeight w:val="438"/>
        </w:trPr>
        <w:tc>
          <w:tcPr>
            <w:tcW w:w="2518"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3685"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2376"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Основания отсутствуют</w:t>
            </w: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r>
      <w:tr w:rsidR="00C42B49" w:rsidRPr="000E0AC1" w:rsidTr="00C42B49">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r>
      <w:tr w:rsidR="00C42B49" w:rsidRPr="000E0AC1" w:rsidTr="00C42B49">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124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3685" w:type="dxa"/>
            <w:gridSpan w:val="4"/>
            <w:tcBorders>
              <w:top w:val="single" w:sz="6" w:space="0" w:color="000000"/>
              <w:bottom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567" w:type="dxa"/>
            <w:gridSpan w:val="2"/>
            <w:tcBorders>
              <w:bottom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1290"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r>
      <w:tr w:rsidR="00C42B49" w:rsidRPr="000E0AC1" w:rsidTr="00C42B49">
        <w:trPr>
          <w:trHeight w:val="1018"/>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Подготовка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662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r>
      <w:tr w:rsidR="00C42B49" w:rsidRPr="000E0AC1" w:rsidTr="00C42B49">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1277"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284" w:type="dxa"/>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3191" w:type="dxa"/>
            <w:gridSpan w:val="3"/>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538" w:type="dxa"/>
            <w:gridSpan w:val="2"/>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w:t>
            </w:r>
          </w:p>
        </w:tc>
        <w:tc>
          <w:tcPr>
            <w:tcW w:w="769" w:type="dxa"/>
            <w:gridSpan w:val="2"/>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2130" w:type="dxa"/>
            <w:gridSpan w:val="2"/>
            <w:tcBorders>
              <w:top w:val="single" w:sz="6" w:space="0" w:color="000000"/>
              <w:bottom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r>
      <w:tr w:rsidR="00C42B49" w:rsidRPr="000E0AC1" w:rsidTr="00C42B49">
        <w:trPr>
          <w:trHeight w:val="732"/>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Направление (выдача) заявителю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 </w:t>
            </w:r>
          </w:p>
        </w:tc>
        <w:tc>
          <w:tcPr>
            <w:tcW w:w="6628"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42B49" w:rsidRPr="000E0AC1" w:rsidRDefault="00C42B49" w:rsidP="00C42B49">
            <w:pPr>
              <w:spacing w:after="0" w:line="240" w:lineRule="auto"/>
              <w:ind w:firstLine="709"/>
              <w:jc w:val="both"/>
              <w:rPr>
                <w:rFonts w:ascii="Times New Roman" w:eastAsia="Times New Roman" w:hAnsi="Times New Roman" w:cs="Times New Roman"/>
                <w:sz w:val="28"/>
                <w:szCs w:val="28"/>
                <w:lang w:eastAsia="ru-RU"/>
              </w:rPr>
            </w:pPr>
            <w:r w:rsidRPr="000E0AC1">
              <w:rPr>
                <w:rFonts w:ascii="Times New Roman" w:eastAsia="Times New Roman" w:hAnsi="Times New Roman" w:cs="Times New Roman"/>
                <w:sz w:val="28"/>
                <w:szCs w:val="28"/>
                <w:lang w:eastAsia="ru-RU"/>
              </w:rPr>
              <w:t>Направление (выдача) заявителю постановления администрации о прекращении права постоянного (бессрочного) пользования земельным участком</w:t>
            </w:r>
          </w:p>
        </w:tc>
        <w:tc>
          <w:tcPr>
            <w:tcW w:w="0" w:type="auto"/>
            <w:hideMark/>
          </w:tcPr>
          <w:p w:rsidR="00C42B49" w:rsidRPr="000E0AC1" w:rsidRDefault="00C42B49" w:rsidP="00C42B49">
            <w:pPr>
              <w:spacing w:after="0" w:line="240" w:lineRule="auto"/>
              <w:rPr>
                <w:rFonts w:ascii="Times New Roman" w:eastAsia="Times New Roman" w:hAnsi="Times New Roman" w:cs="Times New Roman"/>
                <w:sz w:val="28"/>
                <w:szCs w:val="28"/>
                <w:lang w:eastAsia="ru-RU"/>
              </w:rPr>
            </w:pPr>
          </w:p>
        </w:tc>
      </w:tr>
    </w:tbl>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br w:type="textWrapping" w:clear="all"/>
      </w: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0E0AC1" w:rsidRDefault="000E0AC1" w:rsidP="00C42B49">
      <w:pPr>
        <w:spacing w:after="0" w:line="240" w:lineRule="auto"/>
        <w:ind w:left="5245"/>
        <w:jc w:val="both"/>
        <w:rPr>
          <w:rFonts w:ascii="Times New Roman" w:eastAsia="Times New Roman" w:hAnsi="Times New Roman" w:cs="Times New Roman"/>
          <w:color w:val="000000"/>
          <w:sz w:val="28"/>
          <w:szCs w:val="28"/>
          <w:lang w:eastAsia="ru-RU"/>
        </w:rPr>
      </w:pPr>
    </w:p>
    <w:p w:rsidR="00C42B49" w:rsidRPr="000E0AC1" w:rsidRDefault="00C42B49" w:rsidP="00C42B49">
      <w:pPr>
        <w:spacing w:after="0" w:line="240" w:lineRule="auto"/>
        <w:ind w:left="5245"/>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Приложение № 4 к административному регламенту</w:t>
      </w:r>
    </w:p>
    <w:p w:rsidR="00C42B49" w:rsidRPr="000E0AC1" w:rsidRDefault="00C42B49" w:rsidP="00C42B49">
      <w:pPr>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РАСПИСКА</w:t>
      </w:r>
    </w:p>
    <w:p w:rsidR="00C42B49" w:rsidRPr="000E0AC1" w:rsidRDefault="00C42B49" w:rsidP="00C42B49">
      <w:pPr>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получении документов, представленных для принятия решения</w:t>
      </w:r>
    </w:p>
    <w:p w:rsidR="00C42B49" w:rsidRPr="000E0AC1" w:rsidRDefault="00C42B49" w:rsidP="00C42B49">
      <w:pPr>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о прекращении права постоянного (бессрочного) пользования</w:t>
      </w:r>
    </w:p>
    <w:p w:rsidR="00C42B49" w:rsidRPr="000E0AC1" w:rsidRDefault="00C42B49" w:rsidP="00C42B49">
      <w:pPr>
        <w:spacing w:after="0" w:line="240" w:lineRule="auto"/>
        <w:ind w:firstLine="709"/>
        <w:jc w:val="center"/>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земельным участком</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Настоящим удостоверяется, что заявитель</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_____________________________________________________________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(фамилия, имя, отчество)</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представил, а сотрудник администрации _______________ _________________ получил «_____» ________________ _________ документы (число) (месяц прописью) (год)</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в количестве _______________________________ экземпляров по</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(прописью)</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 xml:space="preserve">прилагаемому к заявлению перечню документов, необходимых для принятия решения о прекращении права постоянного (бессрочного) </w:t>
      </w:r>
      <w:bookmarkStart w:id="2" w:name="_GoBack"/>
      <w:bookmarkEnd w:id="2"/>
      <w:r w:rsidRPr="000E0AC1">
        <w:rPr>
          <w:rFonts w:ascii="Times New Roman" w:eastAsia="Times New Roman" w:hAnsi="Times New Roman" w:cs="Times New Roman"/>
          <w:color w:val="000000"/>
          <w:sz w:val="28"/>
          <w:szCs w:val="28"/>
          <w:lang w:eastAsia="ru-RU"/>
        </w:rPr>
        <w:t>пользования земельным участком (согласно п. 2.6.1 настоящего Административного регламента):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_____________________________________________________________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_____________________________________________________________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_____________________________________________________________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Перечень документов, которые будут получены по межведомственным запросам: __________________________________________________________________.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_______________________ ______________ ______________________</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(должность специалиста, (подпись) (расшифровка подписи)</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ответственного за</w:t>
      </w:r>
    </w:p>
    <w:p w:rsidR="00C42B49" w:rsidRPr="000E0AC1" w:rsidRDefault="00C42B49" w:rsidP="00C42B49">
      <w:pPr>
        <w:spacing w:after="0" w:line="240" w:lineRule="auto"/>
        <w:ind w:firstLine="709"/>
        <w:jc w:val="both"/>
        <w:rPr>
          <w:rFonts w:ascii="Times New Roman" w:eastAsia="Times New Roman" w:hAnsi="Times New Roman" w:cs="Times New Roman"/>
          <w:color w:val="000000"/>
          <w:sz w:val="28"/>
          <w:szCs w:val="28"/>
          <w:lang w:eastAsia="ru-RU"/>
        </w:rPr>
      </w:pPr>
      <w:r w:rsidRPr="000E0AC1">
        <w:rPr>
          <w:rFonts w:ascii="Times New Roman" w:eastAsia="Times New Roman" w:hAnsi="Times New Roman" w:cs="Times New Roman"/>
          <w:color w:val="000000"/>
          <w:sz w:val="28"/>
          <w:szCs w:val="28"/>
          <w:lang w:eastAsia="ru-RU"/>
        </w:rPr>
        <w:t>прием документов)</w:t>
      </w:r>
    </w:p>
    <w:p w:rsidR="006547E3" w:rsidRPr="000E0AC1" w:rsidRDefault="000E0AC1">
      <w:pPr>
        <w:rPr>
          <w:rFonts w:ascii="Times New Roman" w:hAnsi="Times New Roman" w:cs="Times New Roman"/>
          <w:sz w:val="28"/>
          <w:szCs w:val="28"/>
        </w:rPr>
      </w:pPr>
    </w:p>
    <w:sectPr w:rsidR="006547E3" w:rsidRPr="000E0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D25D9"/>
    <w:multiLevelType w:val="multilevel"/>
    <w:tmpl w:val="5F4C4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E2351F"/>
    <w:multiLevelType w:val="multilevel"/>
    <w:tmpl w:val="51A0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A76F8D"/>
    <w:multiLevelType w:val="multilevel"/>
    <w:tmpl w:val="709CA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99"/>
    <w:rsid w:val="000E0AC1"/>
    <w:rsid w:val="00234884"/>
    <w:rsid w:val="00491299"/>
    <w:rsid w:val="00747512"/>
    <w:rsid w:val="00C4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FFF76-AD81-4AFF-B59D-E7D9914B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10533</Words>
  <Characters>60041</Characters>
  <Application>Microsoft Office Word</Application>
  <DocSecurity>0</DocSecurity>
  <Lines>500</Lines>
  <Paragraphs>140</Paragraphs>
  <ScaleCrop>false</ScaleCrop>
  <Company/>
  <LinksUpToDate>false</LinksUpToDate>
  <CharactersWithSpaces>70434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2023-04-25T12:43:00Z</dcterms:created>
  <dcterms:modified xsi:type="dcterms:W3CDTF">2023-04-28T06:22:00Z</dcterms:modified>
</cp:coreProperties>
</file>