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6F2C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сентября </w:t>
      </w:r>
      <w:r w:rsidR="00100DEB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27490" w:rsidRPr="000C1B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3736E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11.03.2022г.№11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2022г.№25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 в редакции постановлений от 29.05.2014 года №20, от 11.10.2019 г. № 79), распоряжением администрации Советского сельского поселения  от 11.10.2019 года №29 «Об утверждении перечня муниципальных программ Советского сельского поселения Калачеевского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муниципального района Воронежской области  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2B7C27">
        <w:rPr>
          <w:rFonts w:ascii="Arial" w:eastAsia="Times New Roman" w:hAnsi="Arial" w:cs="Arial"/>
          <w:sz w:val="24"/>
          <w:szCs w:val="24"/>
          <w:lang w:eastAsia="ar-SA"/>
        </w:rPr>
        <w:t>22036,75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2B7C27">
        <w:rPr>
          <w:rFonts w:ascii="Arial" w:eastAsia="Times New Roman" w:hAnsi="Arial" w:cs="Arial"/>
          <w:sz w:val="24"/>
          <w:szCs w:val="24"/>
          <w:lang w:eastAsia="ar-SA"/>
        </w:rPr>
        <w:t>22093,35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>», «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«средства </w:t>
      </w:r>
      <w:r w:rsidR="002B7C27">
        <w:rPr>
          <w:rFonts w:ascii="Arial" w:eastAsia="Times New Roman" w:hAnsi="Arial" w:cs="Arial"/>
          <w:sz w:val="24"/>
          <w:szCs w:val="24"/>
          <w:lang w:eastAsia="ar-SA"/>
        </w:rPr>
        <w:t>федерального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бюджета» цифру </w:t>
      </w:r>
      <w:r w:rsidR="00F95F7C" w:rsidRPr="00804BB7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172DCF">
        <w:rPr>
          <w:rFonts w:ascii="Arial" w:eastAsia="Times New Roman" w:hAnsi="Arial" w:cs="Arial"/>
          <w:sz w:val="24"/>
          <w:szCs w:val="24"/>
          <w:lang w:eastAsia="ar-SA"/>
        </w:rPr>
        <w:t>631,2</w:t>
      </w:r>
      <w:r w:rsidR="00F95F7C" w:rsidRPr="00804BB7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заменить на цифру «</w:t>
      </w:r>
      <w:r w:rsidR="00804BB7">
        <w:rPr>
          <w:rFonts w:ascii="Arial" w:eastAsia="Times New Roman" w:hAnsi="Arial" w:cs="Arial"/>
          <w:sz w:val="24"/>
          <w:szCs w:val="24"/>
          <w:lang w:eastAsia="ar-SA"/>
        </w:rPr>
        <w:t>636,70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»,«Средства бюджета Советского сельского поселения Калачеевского муниципального района» 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15800,50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158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51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»,в таблице год реализации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2022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612,80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46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69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40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93,50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99,00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2920,65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2971,75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».</w:t>
      </w:r>
      <w:r w:rsidR="003D5ADD" w:rsidRPr="000C1B90">
        <w:rPr>
          <w:rFonts w:ascii="Arial" w:hAnsi="Arial" w:cs="Arial"/>
          <w:sz w:val="24"/>
          <w:lang w:eastAsia="ar-SA"/>
        </w:rPr>
        <w:t xml:space="preserve"> </w:t>
      </w:r>
    </w:p>
    <w:p w:rsidR="00C17E27" w:rsidRPr="000C1B90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22036,75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483E33">
        <w:rPr>
          <w:rFonts w:ascii="Arial" w:eastAsia="Times New Roman" w:hAnsi="Arial" w:cs="Arial"/>
          <w:sz w:val="24"/>
          <w:szCs w:val="24"/>
          <w:lang w:eastAsia="ar-SA"/>
        </w:rPr>
        <w:t>22093,35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1D73A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.Приложения 1,2,4,5 к муниципальной программе изложить в следующей редакции, согласно приложений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1436A1">
          <w:pgSz w:w="11906" w:h="16838"/>
          <w:pgMar w:top="1701" w:right="1134" w:bottom="1134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D737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</w:t>
            </w:r>
            <w:r w:rsidR="0087639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Формирование и исполнение бюджета Советского сельского поселения в соответствии с бюджетным законодательством и нормативной правовой 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протяженности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Исполнение бюджета Советского сельского поселения по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A49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D73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 Федерации"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D7371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9B5FD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B5FD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программы,т</w:t>
            </w:r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7371E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т.ч.подпрограмма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7371E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7371E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7080B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73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73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1D73A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1648,4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1D73A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1648,4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D737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D7371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мероприя-тие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1D73A8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D7371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9B5FD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B5FD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(первый год реали-зации)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(второй год реали-зации)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(третий год реали-зации)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(четвертый год реали-зации)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(пятый год реали-зации)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(шестой год реали-зации)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(седьмой год реали-зации)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356585" w:rsidP="00001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0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0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0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001F52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D737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7371E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D7371E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1E" w:rsidRPr="000C1B90" w:rsidRDefault="00D7371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1E" w:rsidRPr="000C1B90" w:rsidRDefault="00D7371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D7371E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5057A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EB3B2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7371E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1E" w:rsidRPr="000C1B90" w:rsidRDefault="00D7371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1E" w:rsidRPr="000C1B90" w:rsidRDefault="00D7371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E" w:rsidRPr="000C1B90" w:rsidRDefault="00D7371E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E" w:rsidRPr="000C1B90" w:rsidRDefault="00D7371E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7371E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1E" w:rsidRPr="000C1B90" w:rsidRDefault="00D7371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1E" w:rsidRPr="000C1B90" w:rsidRDefault="00D7371E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E" w:rsidRPr="000C1B90" w:rsidRDefault="00D7371E" w:rsidP="00D7371E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1E" w:rsidRPr="000C1B90" w:rsidRDefault="00D7371E" w:rsidP="005057A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EB3B2C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1E" w:rsidRPr="000C1B90" w:rsidRDefault="00D7371E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442D83">
        <w:trPr>
          <w:trHeight w:val="4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01F5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73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01F5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73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Мероприятия на организацию проведения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B55A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2197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F6C2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внебюджетные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7371E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D73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1648,4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001F5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001F5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15D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="006E0A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442D83">
        <w:trPr>
          <w:trHeight w:val="42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9613E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7470FA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юридические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7470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="009B5FD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AE548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9B5FD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7470F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т.ч.подпрограмма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7470F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4669,4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«Организация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бюджетного процесса ,</w:t>
            </w:r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исполнение бюджета, финансовое обеспечение деятельности администрации Советского сельского поселения»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F36D35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вание, контроль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04540A" w:rsidP="007470F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E31E0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F36D35" w:rsidRDefault="00F36D3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Доля протяженности освещенных частей улиц, проездов к их общей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91405 03 01102 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38,0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F5488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 w:rsidR="0004540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 w:rsid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66671B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66671B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B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Default="004D44D8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6671B" w:rsidRP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A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66671B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04540A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04540A" w:rsidRPr="000C1B90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74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5,1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E15DE4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91404 09 01102 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Default="0004540A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671B" w:rsidRDefault="0066671B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BA20B9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91408 01 01104 00 590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 w:rsidR="006667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91408 01 01104 00 590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4540A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04540A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90840200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Default="0004540A" w:rsidP="001E0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69,0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6F2C08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91413010110627880730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F36D35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4E2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74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74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540A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ния муниципальных функций, повышение качества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F36D35" w:rsidRDefault="00F36D3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4540A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7470F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2,6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F36D3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1436A1">
      <w:pgSz w:w="16838" w:h="11906" w:orient="landscape"/>
      <w:pgMar w:top="851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01F52"/>
    <w:rsid w:val="00026DC6"/>
    <w:rsid w:val="0004540A"/>
    <w:rsid w:val="00062C2B"/>
    <w:rsid w:val="00084DF6"/>
    <w:rsid w:val="000A1431"/>
    <w:rsid w:val="000C1B90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72DCF"/>
    <w:rsid w:val="001A4979"/>
    <w:rsid w:val="001D2A59"/>
    <w:rsid w:val="001D73A8"/>
    <w:rsid w:val="001E0CA3"/>
    <w:rsid w:val="00234884"/>
    <w:rsid w:val="00244D5A"/>
    <w:rsid w:val="00256205"/>
    <w:rsid w:val="002741C0"/>
    <w:rsid w:val="0029290F"/>
    <w:rsid w:val="002B7C27"/>
    <w:rsid w:val="002E1859"/>
    <w:rsid w:val="002F5381"/>
    <w:rsid w:val="00300F51"/>
    <w:rsid w:val="0034118E"/>
    <w:rsid w:val="003508A4"/>
    <w:rsid w:val="00356585"/>
    <w:rsid w:val="003736E6"/>
    <w:rsid w:val="003940A7"/>
    <w:rsid w:val="00394155"/>
    <w:rsid w:val="003D5ADD"/>
    <w:rsid w:val="00422490"/>
    <w:rsid w:val="00442D83"/>
    <w:rsid w:val="00447F5C"/>
    <w:rsid w:val="00452F40"/>
    <w:rsid w:val="004824D9"/>
    <w:rsid w:val="00483E33"/>
    <w:rsid w:val="00483EA6"/>
    <w:rsid w:val="004C270D"/>
    <w:rsid w:val="004D44D8"/>
    <w:rsid w:val="004E2D60"/>
    <w:rsid w:val="004E4819"/>
    <w:rsid w:val="004E4E21"/>
    <w:rsid w:val="00502999"/>
    <w:rsid w:val="005057A3"/>
    <w:rsid w:val="0053017F"/>
    <w:rsid w:val="00561A0D"/>
    <w:rsid w:val="0057080B"/>
    <w:rsid w:val="005B15CF"/>
    <w:rsid w:val="005C7217"/>
    <w:rsid w:val="005E65A0"/>
    <w:rsid w:val="005E7459"/>
    <w:rsid w:val="0066671B"/>
    <w:rsid w:val="0067705E"/>
    <w:rsid w:val="006C4D3A"/>
    <w:rsid w:val="006E0A02"/>
    <w:rsid w:val="006E163C"/>
    <w:rsid w:val="006F2C08"/>
    <w:rsid w:val="007470FA"/>
    <w:rsid w:val="00747512"/>
    <w:rsid w:val="007570CB"/>
    <w:rsid w:val="007810C9"/>
    <w:rsid w:val="00781B60"/>
    <w:rsid w:val="00790057"/>
    <w:rsid w:val="007E5D98"/>
    <w:rsid w:val="00804BB7"/>
    <w:rsid w:val="00815006"/>
    <w:rsid w:val="00821973"/>
    <w:rsid w:val="0085223A"/>
    <w:rsid w:val="0087639C"/>
    <w:rsid w:val="00876A07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613ED"/>
    <w:rsid w:val="0097376F"/>
    <w:rsid w:val="00977DC4"/>
    <w:rsid w:val="00985E52"/>
    <w:rsid w:val="00994D90"/>
    <w:rsid w:val="009B5FD7"/>
    <w:rsid w:val="009C5A70"/>
    <w:rsid w:val="00A63A52"/>
    <w:rsid w:val="00A672B6"/>
    <w:rsid w:val="00A870CA"/>
    <w:rsid w:val="00A90F2E"/>
    <w:rsid w:val="00A93B39"/>
    <w:rsid w:val="00AA4348"/>
    <w:rsid w:val="00AE548C"/>
    <w:rsid w:val="00B1792B"/>
    <w:rsid w:val="00B55AEF"/>
    <w:rsid w:val="00BA20B9"/>
    <w:rsid w:val="00C17E27"/>
    <w:rsid w:val="00C521A1"/>
    <w:rsid w:val="00CA3871"/>
    <w:rsid w:val="00D7371E"/>
    <w:rsid w:val="00D9797F"/>
    <w:rsid w:val="00DA2C27"/>
    <w:rsid w:val="00DE31E0"/>
    <w:rsid w:val="00E15DE4"/>
    <w:rsid w:val="00E4456D"/>
    <w:rsid w:val="00E65DFA"/>
    <w:rsid w:val="00E751AF"/>
    <w:rsid w:val="00E9492C"/>
    <w:rsid w:val="00EA536D"/>
    <w:rsid w:val="00EB3B2C"/>
    <w:rsid w:val="00EB40C4"/>
    <w:rsid w:val="00EB4F9C"/>
    <w:rsid w:val="00EC165B"/>
    <w:rsid w:val="00EF6C24"/>
    <w:rsid w:val="00F01E1C"/>
    <w:rsid w:val="00F11312"/>
    <w:rsid w:val="00F35E49"/>
    <w:rsid w:val="00F36D35"/>
    <w:rsid w:val="00F5488C"/>
    <w:rsid w:val="00F67AB3"/>
    <w:rsid w:val="00F74156"/>
    <w:rsid w:val="00F87CC9"/>
    <w:rsid w:val="00F95F7C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F575-7D83-494E-8C2A-99D551FD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2022-09-12T05:11:00Z</cp:lastPrinted>
  <dcterms:created xsi:type="dcterms:W3CDTF">2022-09-02T05:59:00Z</dcterms:created>
  <dcterms:modified xsi:type="dcterms:W3CDTF">2022-09-12T05:13:00Z</dcterms:modified>
</cp:coreProperties>
</file>