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5337FA">
        <w:rPr>
          <w:rFonts w:cs="Arial"/>
          <w:lang w:eastAsia="ar-SA"/>
        </w:rPr>
        <w:t>70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5337FA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5337FA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5337FA">
        <w:rPr>
          <w:b/>
          <w:sz w:val="32"/>
          <w:szCs w:val="32"/>
        </w:rPr>
        <w:t>Советского</w:t>
      </w:r>
      <w:r w:rsidRPr="005337FA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5337FA" w:rsidRPr="005337FA">
        <w:rPr>
          <w:b/>
          <w:sz w:val="32"/>
          <w:szCs w:val="32"/>
        </w:rPr>
        <w:t>19</w:t>
      </w:r>
      <w:r w:rsidRPr="005337FA">
        <w:rPr>
          <w:b/>
          <w:sz w:val="32"/>
          <w:szCs w:val="32"/>
        </w:rPr>
        <w:t>.</w:t>
      </w:r>
      <w:r w:rsidR="002443D5" w:rsidRPr="005337FA">
        <w:rPr>
          <w:b/>
          <w:sz w:val="32"/>
          <w:szCs w:val="32"/>
        </w:rPr>
        <w:t>0</w:t>
      </w:r>
      <w:r w:rsidR="00C67D4A" w:rsidRPr="005337FA">
        <w:rPr>
          <w:b/>
          <w:sz w:val="32"/>
          <w:szCs w:val="32"/>
        </w:rPr>
        <w:t>2</w:t>
      </w:r>
      <w:r w:rsidRPr="005337FA">
        <w:rPr>
          <w:b/>
          <w:sz w:val="32"/>
          <w:szCs w:val="32"/>
        </w:rPr>
        <w:t>.201</w:t>
      </w:r>
      <w:r w:rsidR="002443D5" w:rsidRPr="005337FA">
        <w:rPr>
          <w:b/>
          <w:sz w:val="32"/>
          <w:szCs w:val="32"/>
        </w:rPr>
        <w:t>6</w:t>
      </w:r>
      <w:r w:rsidR="00A071B9" w:rsidRPr="005337FA">
        <w:rPr>
          <w:b/>
          <w:sz w:val="32"/>
          <w:szCs w:val="32"/>
        </w:rPr>
        <w:t xml:space="preserve"> </w:t>
      </w:r>
      <w:r w:rsidRPr="005337FA">
        <w:rPr>
          <w:b/>
          <w:sz w:val="32"/>
          <w:szCs w:val="32"/>
        </w:rPr>
        <w:t>№</w:t>
      </w:r>
      <w:r w:rsidR="005337FA" w:rsidRPr="005337FA">
        <w:rPr>
          <w:b/>
          <w:sz w:val="32"/>
          <w:szCs w:val="32"/>
        </w:rPr>
        <w:t>16</w:t>
      </w:r>
      <w:r w:rsidRPr="005337FA">
        <w:rPr>
          <w:b/>
          <w:sz w:val="32"/>
          <w:szCs w:val="32"/>
        </w:rPr>
        <w:t xml:space="preserve"> «</w:t>
      </w:r>
      <w:r w:rsidR="00197EB2" w:rsidRPr="005337FA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5337FA" w:rsidRPr="0083793F">
        <w:rPr>
          <w:rFonts w:cs="Arial"/>
          <w:b/>
          <w:bCs/>
          <w:color w:val="000000"/>
          <w:sz w:val="32"/>
          <w:szCs w:val="32"/>
        </w:rPr>
        <w:t>Выдача акта освидетельствования проведения основных работ по строительству (реконструкции) объекта индивидуального жилищного строительства с привлечением средств материнского (семейного) капитала</w:t>
      </w:r>
      <w:r w:rsidR="00197EB2" w:rsidRPr="005337FA">
        <w:rPr>
          <w:rFonts w:cs="Arial"/>
          <w:b/>
          <w:bCs/>
          <w:sz w:val="32"/>
          <w:szCs w:val="32"/>
        </w:rPr>
        <w:t>»</w:t>
      </w:r>
      <w:r w:rsidR="008B07AC" w:rsidRPr="005337FA">
        <w:rPr>
          <w:b/>
          <w:sz w:val="32"/>
          <w:szCs w:val="32"/>
        </w:rPr>
        <w:t xml:space="preserve">» </w:t>
      </w:r>
      <w:r w:rsidRPr="005337FA">
        <w:rPr>
          <w:b/>
          <w:color w:val="1E1E1E"/>
          <w:sz w:val="32"/>
          <w:szCs w:val="32"/>
        </w:rPr>
        <w:t>(</w:t>
      </w:r>
      <w:r w:rsidR="006C1A7F" w:rsidRPr="005337FA">
        <w:rPr>
          <w:b/>
          <w:color w:val="000000"/>
          <w:sz w:val="32"/>
          <w:szCs w:val="32"/>
        </w:rPr>
        <w:t>в редакции постановлени</w:t>
      </w:r>
      <w:r w:rsidR="002443D5" w:rsidRPr="005337FA">
        <w:rPr>
          <w:b/>
          <w:color w:val="000000"/>
          <w:sz w:val="32"/>
          <w:szCs w:val="32"/>
        </w:rPr>
        <w:t>й</w:t>
      </w:r>
      <w:r w:rsidR="006C1A7F" w:rsidRPr="005337FA">
        <w:rPr>
          <w:b/>
          <w:color w:val="000000"/>
          <w:sz w:val="32"/>
          <w:szCs w:val="32"/>
        </w:rPr>
        <w:t xml:space="preserve"> </w:t>
      </w:r>
      <w:r w:rsidR="002443D5" w:rsidRPr="005337FA">
        <w:rPr>
          <w:rFonts w:cs="Arial"/>
          <w:b/>
          <w:color w:val="000000"/>
          <w:sz w:val="32"/>
          <w:szCs w:val="32"/>
        </w:rPr>
        <w:t xml:space="preserve">от </w:t>
      </w:r>
      <w:r w:rsidR="005337FA" w:rsidRPr="0083793F">
        <w:rPr>
          <w:rFonts w:cs="Arial"/>
          <w:b/>
          <w:color w:val="000000"/>
          <w:sz w:val="32"/>
          <w:szCs w:val="32"/>
        </w:rPr>
        <w:t>07.06.2016 № 61, от 12.04.2019 № 51</w:t>
      </w:r>
      <w:r w:rsidRPr="005337FA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5337FA">
        <w:rPr>
          <w:color w:val="1E1E1E"/>
        </w:rPr>
        <w:t>1</w:t>
      </w:r>
      <w:r w:rsidR="00C67D4A">
        <w:rPr>
          <w:color w:val="1E1E1E"/>
        </w:rPr>
        <w:t>9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2443D5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5337FA">
        <w:rPr>
          <w:color w:val="1E1E1E"/>
        </w:rPr>
        <w:t>16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5337FA" w:rsidRPr="0083793F">
        <w:rPr>
          <w:rFonts w:cs="Arial"/>
          <w:bCs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 жилищного строительства с привлечением средств материнского (семейного) капитала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126813" w:rsidRPr="003539ED">
        <w:rPr>
          <w:rFonts w:cs="Arial"/>
          <w:color w:val="000000"/>
        </w:rPr>
        <w:t>от</w:t>
      </w:r>
      <w:r w:rsidR="00C67D4A" w:rsidRPr="0086535E">
        <w:rPr>
          <w:rFonts w:ascii="Times New Roman" w:hAnsi="Times New Roman"/>
          <w:color w:val="000000"/>
        </w:rPr>
        <w:t xml:space="preserve"> </w:t>
      </w:r>
      <w:r w:rsidR="005337FA" w:rsidRPr="0083793F">
        <w:rPr>
          <w:rFonts w:cs="Arial"/>
          <w:color w:val="000000"/>
        </w:rPr>
        <w:t>07.06.2016 № 61, от 12.04.2019 № 51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5337FA" w:rsidRPr="0083793F">
        <w:rPr>
          <w:rFonts w:cs="Arial"/>
          <w:bCs/>
          <w:color w:val="000000"/>
        </w:rPr>
        <w:t>Выдача акта освидетельствования проведения основных работ по строительству (реконструкции) объекта индивидуального жилищного строительства с привлечением средств материнского (семейного) капитала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lastRenderedPageBreak/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 xml:space="preserve">5.16. </w:t>
      </w:r>
      <w:proofErr w:type="gramStart"/>
      <w:r w:rsidRPr="00B23F99">
        <w:rPr>
          <w:rFonts w:eastAsiaTheme="minorHAnsi" w:cs="Arial"/>
          <w:bCs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r w:rsidR="0018000D"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  <w:r w:rsidR="00BC7092">
        <w:rPr>
          <w:rFonts w:cs="Arial"/>
          <w:color w:val="1E1E1E"/>
        </w:rPr>
        <w:t>».</w:t>
      </w:r>
      <w:bookmarkStart w:id="2" w:name="_GoBack"/>
      <w:bookmarkEnd w:id="2"/>
      <w:proofErr w:type="gramEnd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233365" w:rsidRDefault="00233365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233365" w:rsidSect="008459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33365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405FB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092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09E5-E3D3-4915-8806-A8CB1639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1512</TotalTime>
  <Pages>7</Pages>
  <Words>2035</Words>
  <Characters>16332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18331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47</cp:revision>
  <cp:lastPrinted>2022-12-29T09:42:00Z</cp:lastPrinted>
  <dcterms:created xsi:type="dcterms:W3CDTF">2022-10-20T12:06:00Z</dcterms:created>
  <dcterms:modified xsi:type="dcterms:W3CDTF">2022-12-29T09:44:00Z</dcterms:modified>
</cp:coreProperties>
</file>